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6717" w14:textId="2DF6BA92" w:rsidR="00521575" w:rsidRPr="003434F7" w:rsidRDefault="003E7DC5" w:rsidP="00815F56">
      <w:pPr>
        <w:jc w:val="center"/>
        <w:rPr>
          <w:b/>
          <w:bCs/>
        </w:rPr>
      </w:pPr>
      <w:r w:rsidRPr="00AC7A10">
        <w:rPr>
          <w:rFonts w:ascii="Arial" w:hAnsi="Arial" w:cs="Arial"/>
          <w:noProof/>
          <w:lang w:eastAsia="en-GB"/>
        </w:rPr>
        <w:drawing>
          <wp:inline distT="0" distB="0" distL="0" distR="0" wp14:anchorId="5271241B" wp14:editId="0651FE83">
            <wp:extent cx="1527175" cy="1300481"/>
            <wp:effectExtent l="0" t="0" r="0"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etterhead 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116" cy="1305540"/>
                    </a:xfrm>
                    <a:prstGeom prst="rect">
                      <a:avLst/>
                    </a:prstGeom>
                  </pic:spPr>
                </pic:pic>
              </a:graphicData>
            </a:graphic>
          </wp:inline>
        </w:drawing>
      </w:r>
    </w:p>
    <w:p w14:paraId="3468EAE9" w14:textId="5B5F8709" w:rsidR="003E7DC5" w:rsidRPr="00B93D80" w:rsidRDefault="00BB09EF" w:rsidP="007B3C75">
      <w:pPr>
        <w:jc w:val="center"/>
        <w:rPr>
          <w:rFonts w:ascii="Arial" w:hAnsi="Arial" w:cs="Arial"/>
          <w:b/>
          <w:szCs w:val="24"/>
          <w:u w:val="single"/>
        </w:rPr>
      </w:pPr>
      <w:r w:rsidRPr="00B93D80">
        <w:rPr>
          <w:rFonts w:ascii="Arial" w:hAnsi="Arial" w:cs="Arial"/>
          <w:b/>
          <w:szCs w:val="24"/>
          <w:u w:val="single"/>
        </w:rPr>
        <w:t xml:space="preserve">Reviewed </w:t>
      </w:r>
      <w:r w:rsidR="00B81372">
        <w:rPr>
          <w:rFonts w:ascii="Arial" w:hAnsi="Arial" w:cs="Arial"/>
          <w:b/>
          <w:szCs w:val="24"/>
          <w:u w:val="single"/>
        </w:rPr>
        <w:t>Harworth and Bircotes</w:t>
      </w:r>
      <w:r w:rsidRPr="00B93D80">
        <w:rPr>
          <w:rFonts w:ascii="Arial" w:hAnsi="Arial" w:cs="Arial"/>
          <w:b/>
          <w:szCs w:val="24"/>
          <w:u w:val="single"/>
        </w:rPr>
        <w:t xml:space="preserve"> Neighbourhood </w:t>
      </w:r>
      <w:r w:rsidR="00F34CB4" w:rsidRPr="00B93D80">
        <w:rPr>
          <w:rFonts w:ascii="Arial" w:hAnsi="Arial" w:cs="Arial"/>
          <w:b/>
          <w:szCs w:val="24"/>
          <w:u w:val="single"/>
        </w:rPr>
        <w:t>Plan:</w:t>
      </w:r>
      <w:r w:rsidR="003E7DC5" w:rsidRPr="00B93D80">
        <w:rPr>
          <w:rFonts w:ascii="Arial" w:hAnsi="Arial" w:cs="Arial"/>
          <w:b/>
          <w:szCs w:val="24"/>
          <w:u w:val="single"/>
        </w:rPr>
        <w:t xml:space="preserve"> </w:t>
      </w:r>
      <w:r w:rsidR="002A64CE">
        <w:rPr>
          <w:rFonts w:ascii="Arial" w:hAnsi="Arial" w:cs="Arial"/>
          <w:b/>
          <w:szCs w:val="24"/>
          <w:u w:val="single"/>
        </w:rPr>
        <w:t xml:space="preserve">                                             </w:t>
      </w:r>
      <w:r w:rsidR="003E7DC5" w:rsidRPr="00B93D80">
        <w:rPr>
          <w:rFonts w:ascii="Arial" w:hAnsi="Arial" w:cs="Arial"/>
          <w:b/>
          <w:szCs w:val="24"/>
          <w:u w:val="single"/>
        </w:rPr>
        <w:t>Decision Statement</w:t>
      </w:r>
      <w:r w:rsidR="00F34CB4" w:rsidRPr="00B93D80">
        <w:rPr>
          <w:rFonts w:ascii="Arial" w:hAnsi="Arial" w:cs="Arial"/>
          <w:b/>
          <w:szCs w:val="24"/>
          <w:u w:val="single"/>
        </w:rPr>
        <w:t xml:space="preserve"> (Adoption)</w:t>
      </w:r>
    </w:p>
    <w:p w14:paraId="3808B866" w14:textId="77777777" w:rsidR="003E7DC5" w:rsidRPr="00B93D80" w:rsidRDefault="003E7DC5"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Summary</w:t>
      </w:r>
    </w:p>
    <w:p w14:paraId="4196ED08" w14:textId="77777777" w:rsidR="00443907" w:rsidRPr="00B93D80" w:rsidRDefault="00443907" w:rsidP="00443907">
      <w:pPr>
        <w:pStyle w:val="NumberedParagraph"/>
        <w:numPr>
          <w:ilvl w:val="0"/>
          <w:numId w:val="0"/>
        </w:numPr>
        <w:rPr>
          <w:rFonts w:ascii="Arial" w:hAnsi="Arial" w:cs="Arial"/>
          <w:sz w:val="8"/>
        </w:rPr>
      </w:pPr>
    </w:p>
    <w:p w14:paraId="56102CCA" w14:textId="399B12D0" w:rsidR="0019583D" w:rsidRPr="00B93D80" w:rsidRDefault="0019583D" w:rsidP="0019583D">
      <w:pPr>
        <w:pStyle w:val="NumberedParagraph"/>
        <w:rPr>
          <w:rFonts w:ascii="Arial" w:hAnsi="Arial" w:cs="Arial"/>
        </w:rPr>
      </w:pPr>
      <w:r w:rsidRPr="00B93D80">
        <w:rPr>
          <w:rFonts w:ascii="Arial" w:hAnsi="Arial" w:cs="Arial"/>
          <w:sz w:val="22"/>
        </w:rPr>
        <w:t xml:space="preserve">Following a positive referendum result on the </w:t>
      </w:r>
      <w:r w:rsidR="001B3D95">
        <w:rPr>
          <w:rFonts w:ascii="Arial" w:hAnsi="Arial" w:cs="Arial"/>
          <w:sz w:val="22"/>
        </w:rPr>
        <w:t>21</w:t>
      </w:r>
      <w:r w:rsidR="003E689B" w:rsidRPr="00B93D80">
        <w:rPr>
          <w:rFonts w:ascii="Arial" w:hAnsi="Arial" w:cs="Arial"/>
          <w:sz w:val="22"/>
        </w:rPr>
        <w:t xml:space="preserve"> </w:t>
      </w:r>
      <w:r w:rsidR="001B3D95">
        <w:rPr>
          <w:rFonts w:ascii="Arial" w:hAnsi="Arial" w:cs="Arial"/>
          <w:sz w:val="22"/>
        </w:rPr>
        <w:t>May</w:t>
      </w:r>
      <w:r w:rsidR="00DD6100" w:rsidRPr="00B93D80">
        <w:rPr>
          <w:rFonts w:ascii="Arial" w:hAnsi="Arial" w:cs="Arial"/>
          <w:sz w:val="22"/>
        </w:rPr>
        <w:t xml:space="preserve"> 202</w:t>
      </w:r>
      <w:r w:rsidR="001B3D95">
        <w:rPr>
          <w:rFonts w:ascii="Arial" w:hAnsi="Arial" w:cs="Arial"/>
          <w:sz w:val="22"/>
        </w:rPr>
        <w:t>6</w:t>
      </w:r>
      <w:r w:rsidR="00DD6100" w:rsidRPr="00B93D80">
        <w:rPr>
          <w:rFonts w:ascii="Arial" w:hAnsi="Arial" w:cs="Arial"/>
          <w:sz w:val="22"/>
        </w:rPr>
        <w:t>,</w:t>
      </w:r>
      <w:r w:rsidRPr="00B93D80">
        <w:rPr>
          <w:rFonts w:ascii="Arial" w:hAnsi="Arial" w:cs="Arial"/>
          <w:sz w:val="22"/>
        </w:rPr>
        <w:t xml:space="preserve"> Bassetlaw District Council is publicising its decision to </w:t>
      </w:r>
      <w:r w:rsidR="00053D73" w:rsidRPr="00B93D80">
        <w:rPr>
          <w:rFonts w:ascii="Arial" w:hAnsi="Arial" w:cs="Arial"/>
          <w:sz w:val="22"/>
        </w:rPr>
        <w:t>adopt</w:t>
      </w:r>
      <w:r w:rsidRPr="00B93D80">
        <w:rPr>
          <w:rFonts w:ascii="Arial" w:hAnsi="Arial" w:cs="Arial"/>
          <w:sz w:val="22"/>
        </w:rPr>
        <w:t xml:space="preserve"> the </w:t>
      </w:r>
      <w:r w:rsidR="0084499F" w:rsidRPr="00B93D80">
        <w:rPr>
          <w:rFonts w:ascii="Arial" w:hAnsi="Arial" w:cs="Arial"/>
          <w:sz w:val="22"/>
        </w:rPr>
        <w:t xml:space="preserve">reviewed </w:t>
      </w:r>
      <w:r w:rsidR="00B81372">
        <w:rPr>
          <w:rFonts w:ascii="Arial" w:hAnsi="Arial" w:cs="Arial"/>
          <w:sz w:val="22"/>
        </w:rPr>
        <w:t xml:space="preserve">Harworth and Bircotes </w:t>
      </w:r>
      <w:r w:rsidR="0084499F" w:rsidRPr="00B93D80">
        <w:rPr>
          <w:rFonts w:ascii="Arial" w:hAnsi="Arial" w:cs="Arial"/>
          <w:sz w:val="22"/>
        </w:rPr>
        <w:t xml:space="preserve">Neighbourhood </w:t>
      </w:r>
      <w:r w:rsidRPr="00B93D80">
        <w:rPr>
          <w:rFonts w:ascii="Arial" w:hAnsi="Arial" w:cs="Arial"/>
          <w:sz w:val="22"/>
        </w:rPr>
        <w:t xml:space="preserve">Plan </w:t>
      </w:r>
      <w:r w:rsidR="00053D73" w:rsidRPr="00B93D80">
        <w:rPr>
          <w:rFonts w:ascii="Arial" w:hAnsi="Arial" w:cs="Arial"/>
          <w:sz w:val="22"/>
        </w:rPr>
        <w:t xml:space="preserve">as </w:t>
      </w:r>
      <w:r w:rsidRPr="00B93D80">
        <w:rPr>
          <w:rFonts w:ascii="Arial" w:hAnsi="Arial" w:cs="Arial"/>
          <w:sz w:val="22"/>
        </w:rPr>
        <w:t>part of the Bassetlaw Development Plan</w:t>
      </w:r>
      <w:r w:rsidR="0084499F" w:rsidRPr="00B93D80">
        <w:rPr>
          <w:rFonts w:ascii="Arial" w:hAnsi="Arial" w:cs="Arial"/>
          <w:sz w:val="22"/>
        </w:rPr>
        <w:t>,</w:t>
      </w:r>
      <w:r w:rsidRPr="00B93D80">
        <w:rPr>
          <w:rFonts w:ascii="Arial" w:hAnsi="Arial" w:cs="Arial"/>
          <w:sz w:val="22"/>
        </w:rPr>
        <w:t xml:space="preserve"> in accordance with Regulation 19 of the Neighbourhood Planning (General) Regulations 2012</w:t>
      </w:r>
      <w:r w:rsidRPr="00B93D80">
        <w:rPr>
          <w:rFonts w:ascii="Arial" w:hAnsi="Arial" w:cs="Arial"/>
        </w:rPr>
        <w:t>.</w:t>
      </w:r>
    </w:p>
    <w:p w14:paraId="459315E7"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Background</w:t>
      </w:r>
    </w:p>
    <w:p w14:paraId="36BC1490" w14:textId="77777777" w:rsidR="0019583D" w:rsidRPr="00B93D80" w:rsidRDefault="0019583D" w:rsidP="0019583D">
      <w:pPr>
        <w:rPr>
          <w:rFonts w:ascii="Arial" w:hAnsi="Arial" w:cs="Arial"/>
          <w:sz w:val="8"/>
        </w:rPr>
      </w:pPr>
    </w:p>
    <w:p w14:paraId="686DA363" w14:textId="685CA3E2" w:rsidR="006F30D5" w:rsidRPr="006F46EE" w:rsidRDefault="00C429A4" w:rsidP="00DB3F43">
      <w:pPr>
        <w:pStyle w:val="NumberedParagraph"/>
        <w:rPr>
          <w:rFonts w:ascii="Arial" w:hAnsi="Arial" w:cs="Arial"/>
          <w:sz w:val="22"/>
        </w:rPr>
      </w:pPr>
      <w:r w:rsidRPr="006F46EE">
        <w:rPr>
          <w:rFonts w:ascii="Arial" w:hAnsi="Arial" w:cs="Arial"/>
          <w:sz w:val="22"/>
        </w:rPr>
        <w:t xml:space="preserve">The </w:t>
      </w:r>
      <w:r w:rsidR="00B81372" w:rsidRPr="006F46EE">
        <w:rPr>
          <w:rFonts w:ascii="Arial" w:hAnsi="Arial" w:cs="Arial"/>
          <w:sz w:val="22"/>
        </w:rPr>
        <w:t>Harworth and Bircotes</w:t>
      </w:r>
      <w:r w:rsidR="0084499F" w:rsidRPr="006F46EE">
        <w:rPr>
          <w:rFonts w:ascii="Arial" w:hAnsi="Arial" w:cs="Arial"/>
          <w:sz w:val="22"/>
        </w:rPr>
        <w:t xml:space="preserve"> Neighbourhood Area was designated by Bassetlaw District Council on </w:t>
      </w:r>
      <w:r w:rsidR="00B81372" w:rsidRPr="006F46EE">
        <w:rPr>
          <w:rFonts w:ascii="Arial" w:hAnsi="Arial" w:cs="Arial"/>
          <w:sz w:val="22"/>
        </w:rPr>
        <w:t>27 June 2013</w:t>
      </w:r>
      <w:r w:rsidR="0019583D" w:rsidRPr="006F46EE">
        <w:rPr>
          <w:rFonts w:ascii="Arial" w:hAnsi="Arial" w:cs="Arial"/>
          <w:sz w:val="22"/>
        </w:rPr>
        <w:t xml:space="preserve">. </w:t>
      </w:r>
      <w:r w:rsidR="0084499F" w:rsidRPr="006F46EE">
        <w:rPr>
          <w:rFonts w:ascii="Arial" w:hAnsi="Arial" w:cs="Arial"/>
          <w:sz w:val="22"/>
        </w:rPr>
        <w:t xml:space="preserve">The original </w:t>
      </w:r>
      <w:r w:rsidR="00B81372" w:rsidRPr="006F46EE">
        <w:rPr>
          <w:rFonts w:ascii="Arial" w:hAnsi="Arial" w:cs="Arial"/>
          <w:sz w:val="22"/>
        </w:rPr>
        <w:t xml:space="preserve">Harworth and Bircotes </w:t>
      </w:r>
      <w:r w:rsidR="0084499F" w:rsidRPr="006F46EE">
        <w:rPr>
          <w:rFonts w:ascii="Arial" w:hAnsi="Arial" w:cs="Arial"/>
          <w:sz w:val="22"/>
        </w:rPr>
        <w:t xml:space="preserve">Neighbourhood Plan was subsequently </w:t>
      </w:r>
      <w:r w:rsidR="00B93D80" w:rsidRPr="006F46EE">
        <w:rPr>
          <w:rFonts w:ascii="Arial" w:hAnsi="Arial" w:cs="Arial"/>
          <w:sz w:val="22"/>
        </w:rPr>
        <w:t>developed and</w:t>
      </w:r>
      <w:r w:rsidR="0084499F" w:rsidRPr="006F46EE">
        <w:rPr>
          <w:rFonts w:ascii="Arial" w:hAnsi="Arial" w:cs="Arial"/>
          <w:sz w:val="22"/>
        </w:rPr>
        <w:t xml:space="preserve"> was adopted as part of the Development Plan by the District Council following a successfu</w:t>
      </w:r>
      <w:r w:rsidR="00AE361F" w:rsidRPr="006F46EE">
        <w:rPr>
          <w:rFonts w:ascii="Arial" w:hAnsi="Arial" w:cs="Arial"/>
          <w:sz w:val="22"/>
        </w:rPr>
        <w:t xml:space="preserve">l referendum </w:t>
      </w:r>
      <w:r w:rsidR="0084499F" w:rsidRPr="006F46EE">
        <w:rPr>
          <w:rFonts w:ascii="Arial" w:hAnsi="Arial" w:cs="Arial"/>
          <w:sz w:val="22"/>
        </w:rPr>
        <w:t xml:space="preserve">on </w:t>
      </w:r>
      <w:r w:rsidR="00B81372" w:rsidRPr="006F46EE">
        <w:rPr>
          <w:rFonts w:ascii="Arial" w:hAnsi="Arial" w:cs="Arial"/>
          <w:sz w:val="22"/>
        </w:rPr>
        <w:t>3 December 2015</w:t>
      </w:r>
      <w:r w:rsidR="0084499F" w:rsidRPr="006F46EE">
        <w:rPr>
          <w:rFonts w:ascii="Arial" w:hAnsi="Arial" w:cs="Arial"/>
          <w:sz w:val="22"/>
        </w:rPr>
        <w:t>.</w:t>
      </w:r>
      <w:r w:rsidR="001B3D95" w:rsidRPr="006F46EE">
        <w:rPr>
          <w:rFonts w:ascii="Arial" w:hAnsi="Arial" w:cs="Arial"/>
          <w:sz w:val="22"/>
        </w:rPr>
        <w:t xml:space="preserve"> The Neighbourhood Plan was subsequently subject to a minor material modification to correct an error, with this version of the Plan being adopted by the District Council on 4 March 2021. </w:t>
      </w:r>
      <w:r w:rsidR="0084499F" w:rsidRPr="006F46EE">
        <w:rPr>
          <w:rFonts w:ascii="Arial" w:hAnsi="Arial" w:cs="Arial"/>
          <w:sz w:val="22"/>
        </w:rPr>
        <w:t xml:space="preserve"> </w:t>
      </w:r>
    </w:p>
    <w:p w14:paraId="76A859D4" w14:textId="77777777" w:rsidR="001B3D95" w:rsidRPr="001B3D95" w:rsidRDefault="001B3D95" w:rsidP="001B3D95">
      <w:pPr>
        <w:pStyle w:val="NumberedParagraph"/>
        <w:rPr>
          <w:rFonts w:ascii="Arial" w:hAnsi="Arial" w:cs="Arial"/>
          <w:sz w:val="22"/>
        </w:rPr>
      </w:pPr>
      <w:r w:rsidRPr="001B3D95">
        <w:rPr>
          <w:rFonts w:ascii="Arial" w:hAnsi="Arial" w:cs="Arial"/>
          <w:sz w:val="22"/>
        </w:rPr>
        <w:t xml:space="preserve">In 2023 work commenced on a review of the Neighbourhood Plan. The review has seen a comprehensive reworking of the content, including modification of existing policies, and the addition of new ones, supported by an updated and expanded evidence base. The changes over the original Neighbourhood Plan can be summarised as follows: </w:t>
      </w:r>
    </w:p>
    <w:p w14:paraId="01B5DBE6"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 xml:space="preserve">Policy 1: comprehensively updated to reflect changes in the wider policy context. </w:t>
      </w:r>
    </w:p>
    <w:p w14:paraId="38C1B0BD"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2a: updated to include greater detail on design guidance referring to the Harworth &amp; Bircotes Design Guidance and Codes.</w:t>
      </w:r>
    </w:p>
    <w:p w14:paraId="79A6269D"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2b: newly added to encourage ‘secure by design’ principles.</w:t>
      </w:r>
    </w:p>
    <w:p w14:paraId="762451B6"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3: newly added to identify areas of landscape sensitivity and key views.</w:t>
      </w:r>
    </w:p>
    <w:p w14:paraId="6A5FBCE8"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4a and 4b: updated to reflect changes in the wider policy context.</w:t>
      </w:r>
    </w:p>
    <w:p w14:paraId="75DF11FB"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5: revised to designate new Local Green Spaces.</w:t>
      </w:r>
    </w:p>
    <w:p w14:paraId="09C1B423"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6: revised to include greater detail on relevant considerations.</w:t>
      </w:r>
    </w:p>
    <w:p w14:paraId="67285032"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7a and 7b: revised the contents to align with the Masterplan and the Local Plan.</w:t>
      </w:r>
    </w:p>
    <w:p w14:paraId="109971D2"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lastRenderedPageBreak/>
        <w:t>Policy 8a and 8b: updated, including more specific context based on the Harworth &amp; Bircotes Housing Needs Assessment.</w:t>
      </w:r>
    </w:p>
    <w:p w14:paraId="69B04F17"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9: updated to include wider consideration of community facilities.</w:t>
      </w:r>
    </w:p>
    <w:p w14:paraId="2BD72256" w14:textId="77777777" w:rsidR="00B81372" w:rsidRPr="00B81372" w:rsidRDefault="00B81372" w:rsidP="00B81372">
      <w:pPr>
        <w:pStyle w:val="NumberedParagraph"/>
        <w:numPr>
          <w:ilvl w:val="0"/>
          <w:numId w:val="41"/>
        </w:numPr>
        <w:rPr>
          <w:rFonts w:ascii="Arial" w:hAnsi="Arial" w:cs="Arial"/>
          <w:sz w:val="22"/>
        </w:rPr>
      </w:pPr>
      <w:r w:rsidRPr="00B81372">
        <w:rPr>
          <w:rFonts w:ascii="Arial" w:hAnsi="Arial" w:cs="Arial"/>
          <w:sz w:val="22"/>
        </w:rPr>
        <w:t>Policy 10: updated, including a consideration of pedestrians and cyclists.</w:t>
      </w:r>
    </w:p>
    <w:p w14:paraId="74BB3CD1" w14:textId="668124C0" w:rsidR="00E70D9B" w:rsidRPr="004A1235" w:rsidRDefault="00B81372" w:rsidP="00B81372">
      <w:pPr>
        <w:pStyle w:val="NumberedParagraph"/>
        <w:numPr>
          <w:ilvl w:val="0"/>
          <w:numId w:val="41"/>
        </w:numPr>
        <w:rPr>
          <w:rFonts w:ascii="Arial" w:hAnsi="Arial" w:cs="Arial"/>
          <w:sz w:val="22"/>
        </w:rPr>
      </w:pPr>
      <w:r w:rsidRPr="004A1235">
        <w:rPr>
          <w:rFonts w:ascii="Arial" w:hAnsi="Arial" w:cs="Arial"/>
          <w:sz w:val="22"/>
        </w:rPr>
        <w:t xml:space="preserve">In addition to the above, consequential changes have been made throughout the Plan for consistency, clarity, and to ensure that references to other documents and legislation are up-to-date, particularly the Bassetlaw Local Plan and the most recent version of the NPPF.  </w:t>
      </w:r>
    </w:p>
    <w:p w14:paraId="1B6F82E5" w14:textId="06744E33" w:rsidR="006F30D5" w:rsidRPr="00340A39" w:rsidRDefault="00AE361F" w:rsidP="00DB3F43">
      <w:pPr>
        <w:pStyle w:val="NumberedParagraph"/>
        <w:rPr>
          <w:rFonts w:ascii="Arial" w:hAnsi="Arial" w:cs="Arial"/>
          <w:sz w:val="22"/>
          <w:szCs w:val="22"/>
        </w:rPr>
      </w:pPr>
      <w:r w:rsidRPr="00340A39">
        <w:rPr>
          <w:rFonts w:ascii="Arial" w:hAnsi="Arial" w:cs="Arial"/>
          <w:sz w:val="22"/>
          <w:szCs w:val="22"/>
        </w:rPr>
        <w:t xml:space="preserve">The reviewed Neighbourhood Plan was formally submitted to the District Council </w:t>
      </w:r>
      <w:r w:rsidR="00F049BB" w:rsidRPr="00340A39">
        <w:rPr>
          <w:rFonts w:ascii="Arial" w:hAnsi="Arial" w:cs="Arial"/>
          <w:sz w:val="22"/>
          <w:szCs w:val="22"/>
        </w:rPr>
        <w:t xml:space="preserve">on </w:t>
      </w:r>
      <w:r w:rsidR="003D0F79" w:rsidRPr="003D0F79">
        <w:rPr>
          <w:rFonts w:ascii="Arial" w:hAnsi="Arial" w:cs="Arial"/>
          <w:sz w:val="22"/>
          <w:szCs w:val="22"/>
        </w:rPr>
        <w:t>15 September 2025</w:t>
      </w:r>
      <w:r w:rsidR="003D0F79">
        <w:rPr>
          <w:rFonts w:ascii="Arial" w:hAnsi="Arial" w:cs="Arial"/>
          <w:sz w:val="22"/>
          <w:szCs w:val="22"/>
        </w:rPr>
        <w:t>,</w:t>
      </w:r>
      <w:r w:rsidRPr="00340A39">
        <w:rPr>
          <w:rFonts w:ascii="Arial" w:hAnsi="Arial" w:cs="Arial"/>
          <w:sz w:val="22"/>
          <w:szCs w:val="22"/>
        </w:rPr>
        <w:t xml:space="preserve"> followed by six weeks of consultation with the public and statutory bodies</w:t>
      </w:r>
      <w:r w:rsidR="00F049BB" w:rsidRPr="00340A39">
        <w:rPr>
          <w:rFonts w:ascii="Arial" w:hAnsi="Arial" w:cs="Arial"/>
          <w:sz w:val="22"/>
          <w:szCs w:val="22"/>
        </w:rPr>
        <w:t xml:space="preserve"> between </w:t>
      </w:r>
      <w:r w:rsidR="003D0F79" w:rsidRPr="003D0F79">
        <w:rPr>
          <w:rFonts w:ascii="Arial" w:hAnsi="Arial" w:cs="Arial"/>
          <w:sz w:val="22"/>
          <w:szCs w:val="22"/>
        </w:rPr>
        <w:t>15 September and 27 October 2025</w:t>
      </w:r>
      <w:r w:rsidR="00C44E7D" w:rsidRPr="00340A39">
        <w:rPr>
          <w:rFonts w:ascii="Arial" w:hAnsi="Arial" w:cs="Arial"/>
          <w:sz w:val="22"/>
          <w:szCs w:val="22"/>
        </w:rPr>
        <w:t>.</w:t>
      </w:r>
    </w:p>
    <w:p w14:paraId="1FFD5A78" w14:textId="3472C57F" w:rsidR="004248C9" w:rsidRPr="00340A39" w:rsidRDefault="004248C9" w:rsidP="004248C9">
      <w:pPr>
        <w:pStyle w:val="NumberedParagraph"/>
        <w:rPr>
          <w:rFonts w:ascii="Arial" w:hAnsi="Arial" w:cs="Arial"/>
          <w:sz w:val="22"/>
          <w:szCs w:val="22"/>
        </w:rPr>
      </w:pPr>
      <w:r w:rsidRPr="00340A39">
        <w:rPr>
          <w:rFonts w:ascii="Arial" w:hAnsi="Arial" w:cs="Arial"/>
          <w:sz w:val="22"/>
          <w:szCs w:val="22"/>
        </w:rPr>
        <w:t xml:space="preserve">Bassetlaw District Council subsequently appointed an independent Examiner, Mr </w:t>
      </w:r>
      <w:r w:rsidR="004B3727">
        <w:rPr>
          <w:rFonts w:ascii="Arial" w:hAnsi="Arial" w:cs="Arial"/>
          <w:sz w:val="22"/>
          <w:szCs w:val="22"/>
        </w:rPr>
        <w:t>Peter Biggers</w:t>
      </w:r>
      <w:r w:rsidRPr="00340A39">
        <w:rPr>
          <w:rFonts w:ascii="Arial" w:hAnsi="Arial" w:cs="Arial"/>
          <w:sz w:val="22"/>
          <w:szCs w:val="22"/>
        </w:rPr>
        <w:t>, to assess whether the reviewed Neighbourhood Plan met the basic conditions required by legislation, and whether the Plan should proceed to referendum.</w:t>
      </w:r>
    </w:p>
    <w:p w14:paraId="558467D0" w14:textId="4307E5FC" w:rsidR="004248C9" w:rsidRPr="00B93D80" w:rsidRDefault="004248C9" w:rsidP="004248C9">
      <w:pPr>
        <w:pStyle w:val="NumberedParagraph"/>
        <w:rPr>
          <w:rFonts w:ascii="Arial" w:hAnsi="Arial" w:cs="Arial"/>
          <w:sz w:val="22"/>
          <w:szCs w:val="22"/>
        </w:rPr>
      </w:pPr>
      <w:r w:rsidRPr="00B93D80">
        <w:rPr>
          <w:rFonts w:ascii="Arial" w:hAnsi="Arial" w:cs="Arial"/>
          <w:sz w:val="22"/>
          <w:szCs w:val="22"/>
        </w:rPr>
        <w:t>The Examiner’s Report</w:t>
      </w:r>
      <w:r w:rsidR="0055059C" w:rsidRPr="00B93D80">
        <w:rPr>
          <w:rFonts w:ascii="Arial" w:hAnsi="Arial" w:cs="Arial"/>
          <w:sz w:val="22"/>
          <w:szCs w:val="22"/>
        </w:rPr>
        <w:t xml:space="preserve">, received on </w:t>
      </w:r>
      <w:r w:rsidR="004C6513">
        <w:rPr>
          <w:rFonts w:ascii="Arial" w:hAnsi="Arial" w:cs="Arial"/>
          <w:sz w:val="22"/>
          <w:szCs w:val="22"/>
        </w:rPr>
        <w:t>1</w:t>
      </w:r>
      <w:r w:rsidR="00641FCC">
        <w:rPr>
          <w:rFonts w:ascii="Arial" w:hAnsi="Arial" w:cs="Arial"/>
          <w:sz w:val="22"/>
          <w:szCs w:val="22"/>
        </w:rPr>
        <w:t>4</w:t>
      </w:r>
      <w:r w:rsidR="0079299C">
        <w:rPr>
          <w:rFonts w:ascii="Arial" w:hAnsi="Arial" w:cs="Arial"/>
          <w:sz w:val="22"/>
          <w:szCs w:val="22"/>
        </w:rPr>
        <w:t xml:space="preserve"> </w:t>
      </w:r>
      <w:r w:rsidR="00641FCC">
        <w:rPr>
          <w:rFonts w:ascii="Arial" w:hAnsi="Arial" w:cs="Arial"/>
          <w:sz w:val="22"/>
          <w:szCs w:val="22"/>
        </w:rPr>
        <w:t>January</w:t>
      </w:r>
      <w:r w:rsidR="0055059C" w:rsidRPr="00B93D80">
        <w:rPr>
          <w:rFonts w:ascii="Arial" w:hAnsi="Arial" w:cs="Arial"/>
          <w:sz w:val="22"/>
          <w:szCs w:val="22"/>
        </w:rPr>
        <w:t xml:space="preserve"> 202</w:t>
      </w:r>
      <w:r w:rsidR="004C6513">
        <w:rPr>
          <w:rFonts w:ascii="Arial" w:hAnsi="Arial" w:cs="Arial"/>
          <w:sz w:val="22"/>
          <w:szCs w:val="22"/>
        </w:rPr>
        <w:t>6</w:t>
      </w:r>
      <w:r w:rsidR="0055059C" w:rsidRPr="00B93D80">
        <w:rPr>
          <w:rFonts w:ascii="Arial" w:hAnsi="Arial" w:cs="Arial"/>
          <w:sz w:val="22"/>
          <w:szCs w:val="22"/>
        </w:rPr>
        <w:t xml:space="preserve">, </w:t>
      </w:r>
      <w:r w:rsidRPr="00B93D80">
        <w:rPr>
          <w:rFonts w:ascii="Arial" w:hAnsi="Arial" w:cs="Arial"/>
          <w:sz w:val="22"/>
          <w:szCs w:val="22"/>
        </w:rPr>
        <w:t xml:space="preserve">concluded that the Plan meets the Basic Conditions and that, subject to a number of </w:t>
      </w:r>
      <w:r w:rsidR="00F049BB" w:rsidRPr="00B93D80">
        <w:rPr>
          <w:rFonts w:ascii="Arial" w:hAnsi="Arial" w:cs="Arial"/>
          <w:sz w:val="22"/>
          <w:szCs w:val="22"/>
        </w:rPr>
        <w:t xml:space="preserve">specific </w:t>
      </w:r>
      <w:r w:rsidRPr="00B93D80">
        <w:rPr>
          <w:rFonts w:ascii="Arial" w:hAnsi="Arial" w:cs="Arial"/>
          <w:sz w:val="22"/>
          <w:szCs w:val="22"/>
        </w:rPr>
        <w:t xml:space="preserve">modifications proposed in the report, the Plan should proceed to a public referendum. The Examiner’s Report, </w:t>
      </w:r>
      <w:r w:rsidR="00B93D80">
        <w:rPr>
          <w:rFonts w:ascii="Arial" w:hAnsi="Arial" w:cs="Arial"/>
          <w:sz w:val="22"/>
          <w:szCs w:val="22"/>
        </w:rPr>
        <w:t xml:space="preserve">the </w:t>
      </w:r>
      <w:r w:rsidRPr="00B93D80">
        <w:rPr>
          <w:rFonts w:ascii="Arial" w:hAnsi="Arial" w:cs="Arial"/>
          <w:sz w:val="22"/>
          <w:szCs w:val="22"/>
        </w:rPr>
        <w:t xml:space="preserve">proposed modifications, and the intention to hold a referendum, </w:t>
      </w:r>
      <w:r w:rsidR="00AE361F" w:rsidRPr="00B93D80">
        <w:rPr>
          <w:rFonts w:ascii="Arial" w:hAnsi="Arial" w:cs="Arial"/>
          <w:sz w:val="22"/>
          <w:szCs w:val="22"/>
        </w:rPr>
        <w:t xml:space="preserve">were considered and approved </w:t>
      </w:r>
      <w:r w:rsidR="00F049BB" w:rsidRPr="00B93D80">
        <w:rPr>
          <w:rFonts w:ascii="Arial" w:hAnsi="Arial" w:cs="Arial"/>
          <w:sz w:val="22"/>
          <w:szCs w:val="22"/>
        </w:rPr>
        <w:t xml:space="preserve">by the District </w:t>
      </w:r>
      <w:r w:rsidR="00AE361F" w:rsidRPr="00B93D80">
        <w:rPr>
          <w:rFonts w:ascii="Arial" w:hAnsi="Arial" w:cs="Arial"/>
          <w:sz w:val="22"/>
          <w:szCs w:val="22"/>
        </w:rPr>
        <w:t xml:space="preserve">Council </w:t>
      </w:r>
      <w:r w:rsidR="00F049BB" w:rsidRPr="00B93D80">
        <w:rPr>
          <w:rFonts w:ascii="Arial" w:hAnsi="Arial" w:cs="Arial"/>
          <w:sz w:val="22"/>
          <w:szCs w:val="22"/>
        </w:rPr>
        <w:t xml:space="preserve">at a </w:t>
      </w:r>
      <w:r w:rsidRPr="00B93D80">
        <w:rPr>
          <w:rFonts w:ascii="Arial" w:hAnsi="Arial" w:cs="Arial"/>
          <w:sz w:val="22"/>
          <w:szCs w:val="22"/>
        </w:rPr>
        <w:t xml:space="preserve">meeting held on </w:t>
      </w:r>
      <w:r w:rsidR="0079299C">
        <w:rPr>
          <w:rFonts w:ascii="Arial" w:hAnsi="Arial" w:cs="Arial"/>
          <w:sz w:val="22"/>
          <w:szCs w:val="22"/>
        </w:rPr>
        <w:t>1</w:t>
      </w:r>
      <w:r w:rsidR="004C6513">
        <w:rPr>
          <w:rFonts w:ascii="Arial" w:hAnsi="Arial" w:cs="Arial"/>
          <w:sz w:val="22"/>
          <w:szCs w:val="22"/>
        </w:rPr>
        <w:t>2</w:t>
      </w:r>
      <w:r w:rsidR="0079299C">
        <w:rPr>
          <w:rFonts w:ascii="Arial" w:hAnsi="Arial" w:cs="Arial"/>
          <w:sz w:val="22"/>
          <w:szCs w:val="22"/>
        </w:rPr>
        <w:t xml:space="preserve"> </w:t>
      </w:r>
      <w:r w:rsidR="004C6513">
        <w:rPr>
          <w:rFonts w:ascii="Arial" w:hAnsi="Arial" w:cs="Arial"/>
          <w:sz w:val="22"/>
          <w:szCs w:val="22"/>
        </w:rPr>
        <w:t>March 2026</w:t>
      </w:r>
      <w:r w:rsidRPr="00B93D80">
        <w:rPr>
          <w:rFonts w:ascii="Arial" w:hAnsi="Arial" w:cs="Arial"/>
          <w:sz w:val="22"/>
          <w:szCs w:val="22"/>
        </w:rPr>
        <w:t xml:space="preserve">.  </w:t>
      </w:r>
    </w:p>
    <w:p w14:paraId="538F7592"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Decision &amp; Reasoning</w:t>
      </w:r>
    </w:p>
    <w:p w14:paraId="419E482B" w14:textId="77777777" w:rsidR="0019583D" w:rsidRPr="00B93D80" w:rsidRDefault="0019583D" w:rsidP="0019583D">
      <w:pPr>
        <w:rPr>
          <w:rFonts w:ascii="Arial" w:hAnsi="Arial" w:cs="Arial"/>
          <w:sz w:val="8"/>
        </w:rPr>
      </w:pPr>
    </w:p>
    <w:p w14:paraId="70436333" w14:textId="49CFD56B" w:rsidR="00AE361F"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A </w:t>
      </w:r>
      <w:r w:rsidR="004248C9" w:rsidRPr="00B93D80">
        <w:rPr>
          <w:rFonts w:ascii="Arial" w:hAnsi="Arial" w:cs="Arial"/>
          <w:sz w:val="22"/>
          <w:szCs w:val="22"/>
        </w:rPr>
        <w:t xml:space="preserve">public </w:t>
      </w:r>
      <w:r w:rsidRPr="00B93D80">
        <w:rPr>
          <w:rFonts w:ascii="Arial" w:hAnsi="Arial" w:cs="Arial"/>
          <w:sz w:val="22"/>
          <w:szCs w:val="22"/>
        </w:rPr>
        <w:t xml:space="preserve">referendum was held </w:t>
      </w:r>
      <w:r w:rsidR="004248C9" w:rsidRPr="00B93D80">
        <w:rPr>
          <w:rFonts w:ascii="Arial" w:hAnsi="Arial" w:cs="Arial"/>
          <w:sz w:val="22"/>
          <w:szCs w:val="22"/>
        </w:rPr>
        <w:t xml:space="preserve">in the </w:t>
      </w:r>
      <w:r w:rsidR="000848C5">
        <w:rPr>
          <w:rFonts w:ascii="Arial" w:hAnsi="Arial" w:cs="Arial"/>
          <w:sz w:val="22"/>
          <w:szCs w:val="22"/>
        </w:rPr>
        <w:t>Harworth and Bircotes</w:t>
      </w:r>
      <w:r w:rsidR="004248C9" w:rsidRPr="00B93D80">
        <w:rPr>
          <w:rFonts w:ascii="Arial" w:hAnsi="Arial" w:cs="Arial"/>
          <w:sz w:val="22"/>
          <w:szCs w:val="22"/>
        </w:rPr>
        <w:t xml:space="preserve"> Neighbourhood A</w:t>
      </w:r>
      <w:r w:rsidR="00AE361F" w:rsidRPr="00B93D80">
        <w:rPr>
          <w:rFonts w:ascii="Arial" w:hAnsi="Arial" w:cs="Arial"/>
          <w:sz w:val="22"/>
          <w:szCs w:val="22"/>
        </w:rPr>
        <w:t xml:space="preserve">rea, as proposed, </w:t>
      </w:r>
      <w:r w:rsidRPr="00B93D80">
        <w:rPr>
          <w:rFonts w:ascii="Arial" w:hAnsi="Arial" w:cs="Arial"/>
          <w:sz w:val="22"/>
          <w:szCs w:val="22"/>
        </w:rPr>
        <w:t xml:space="preserve">on </w:t>
      </w:r>
      <w:r w:rsidR="00AE361F" w:rsidRPr="00B93D80">
        <w:rPr>
          <w:rFonts w:ascii="Arial" w:hAnsi="Arial" w:cs="Arial"/>
          <w:sz w:val="22"/>
          <w:szCs w:val="22"/>
        </w:rPr>
        <w:t xml:space="preserve">Thursday </w:t>
      </w:r>
      <w:r w:rsidR="004C6513">
        <w:rPr>
          <w:rFonts w:ascii="Arial" w:hAnsi="Arial" w:cs="Arial"/>
          <w:sz w:val="22"/>
          <w:szCs w:val="22"/>
        </w:rPr>
        <w:t>21</w:t>
      </w:r>
      <w:r w:rsidR="003E689B" w:rsidRPr="00B93D80">
        <w:rPr>
          <w:rFonts w:ascii="Arial" w:hAnsi="Arial" w:cs="Arial"/>
          <w:sz w:val="22"/>
          <w:szCs w:val="22"/>
        </w:rPr>
        <w:t xml:space="preserve"> </w:t>
      </w:r>
      <w:r w:rsidR="004C6513">
        <w:rPr>
          <w:rFonts w:ascii="Arial" w:hAnsi="Arial" w:cs="Arial"/>
          <w:sz w:val="22"/>
          <w:szCs w:val="22"/>
        </w:rPr>
        <w:t>May</w:t>
      </w:r>
      <w:r w:rsidR="0079299C">
        <w:rPr>
          <w:rFonts w:ascii="Arial" w:hAnsi="Arial" w:cs="Arial"/>
          <w:sz w:val="22"/>
          <w:szCs w:val="22"/>
        </w:rPr>
        <w:t xml:space="preserve"> </w:t>
      </w:r>
      <w:r w:rsidR="00DD6100" w:rsidRPr="00B93D80">
        <w:rPr>
          <w:rFonts w:ascii="Arial" w:hAnsi="Arial" w:cs="Arial"/>
          <w:sz w:val="22"/>
          <w:szCs w:val="22"/>
        </w:rPr>
        <w:t>202</w:t>
      </w:r>
      <w:r w:rsidR="004C6513">
        <w:rPr>
          <w:rFonts w:ascii="Arial" w:hAnsi="Arial" w:cs="Arial"/>
          <w:sz w:val="22"/>
          <w:szCs w:val="22"/>
        </w:rPr>
        <w:t>6</w:t>
      </w:r>
      <w:r w:rsidR="00AE361F" w:rsidRPr="00B93D80">
        <w:rPr>
          <w:rFonts w:ascii="Arial" w:hAnsi="Arial" w:cs="Arial"/>
          <w:sz w:val="22"/>
          <w:szCs w:val="22"/>
        </w:rPr>
        <w:t>.</w:t>
      </w:r>
      <w:r w:rsidRPr="00B93D80">
        <w:rPr>
          <w:rFonts w:ascii="Arial" w:hAnsi="Arial" w:cs="Arial"/>
          <w:sz w:val="22"/>
          <w:szCs w:val="22"/>
        </w:rPr>
        <w:t xml:space="preserve"> </w:t>
      </w:r>
    </w:p>
    <w:p w14:paraId="6441839A"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Paragraph 38A (4)(a) of the Planning and Compulsory Purchase Act 2004</w:t>
      </w:r>
      <w:r w:rsidR="00AE361F" w:rsidRPr="00B93D80">
        <w:rPr>
          <w:rFonts w:ascii="Arial" w:hAnsi="Arial" w:cs="Arial"/>
          <w:sz w:val="22"/>
          <w:szCs w:val="22"/>
        </w:rPr>
        <w:t>,</w:t>
      </w:r>
      <w:r w:rsidRPr="00B93D80">
        <w:rPr>
          <w:rFonts w:ascii="Arial" w:hAnsi="Arial" w:cs="Arial"/>
          <w:sz w:val="22"/>
          <w:szCs w:val="22"/>
        </w:rPr>
        <w:t xml:space="preserve"> as amended</w:t>
      </w:r>
      <w:r w:rsidR="00AE361F" w:rsidRPr="00B93D80">
        <w:rPr>
          <w:rFonts w:ascii="Arial" w:hAnsi="Arial" w:cs="Arial"/>
          <w:sz w:val="22"/>
          <w:szCs w:val="22"/>
        </w:rPr>
        <w:t>,</w:t>
      </w:r>
      <w:r w:rsidRPr="00B93D80">
        <w:rPr>
          <w:rFonts w:ascii="Arial" w:hAnsi="Arial" w:cs="Arial"/>
          <w:sz w:val="22"/>
          <w:szCs w:val="22"/>
        </w:rPr>
        <w:t xml:space="preserve"> requires that the </w:t>
      </w:r>
      <w:r w:rsidR="00AE361F" w:rsidRPr="00B93D80">
        <w:rPr>
          <w:rFonts w:ascii="Arial" w:hAnsi="Arial" w:cs="Arial"/>
          <w:sz w:val="22"/>
          <w:szCs w:val="22"/>
        </w:rPr>
        <w:t xml:space="preserve">District </w:t>
      </w:r>
      <w:r w:rsidRPr="00B93D80">
        <w:rPr>
          <w:rFonts w:ascii="Arial" w:hAnsi="Arial" w:cs="Arial"/>
          <w:sz w:val="22"/>
          <w:szCs w:val="22"/>
        </w:rPr>
        <w:t xml:space="preserve">Council must make the Neighbourhood Plan if more than half of those voting have voted in favour of the plan. Bassetlaw District Council </w:t>
      </w:r>
      <w:r w:rsidR="00521575" w:rsidRPr="00B93D80">
        <w:rPr>
          <w:rFonts w:ascii="Arial" w:hAnsi="Arial" w:cs="Arial"/>
          <w:sz w:val="22"/>
          <w:szCs w:val="22"/>
        </w:rPr>
        <w:t>is</w:t>
      </w:r>
      <w:r w:rsidRPr="00B93D80">
        <w:rPr>
          <w:rFonts w:ascii="Arial" w:hAnsi="Arial" w:cs="Arial"/>
          <w:sz w:val="22"/>
          <w:szCs w:val="22"/>
        </w:rPr>
        <w:t xml:space="preserve"> not subject to this duty if the making of the plan would breach, or would otherwise be incompatible with, any EU obligation or any of the Convention rights (within the meaning of the Human Rights Act 1998).</w:t>
      </w:r>
    </w:p>
    <w:p w14:paraId="40629053" w14:textId="59E76C64"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The referendum held on </w:t>
      </w:r>
      <w:r w:rsidR="004C6513">
        <w:rPr>
          <w:rFonts w:ascii="Arial" w:hAnsi="Arial" w:cs="Arial"/>
          <w:sz w:val="22"/>
          <w:szCs w:val="22"/>
        </w:rPr>
        <w:t>21</w:t>
      </w:r>
      <w:r w:rsidR="003E689B" w:rsidRPr="00B93D80">
        <w:rPr>
          <w:rFonts w:ascii="Arial" w:hAnsi="Arial" w:cs="Arial"/>
          <w:sz w:val="22"/>
          <w:szCs w:val="22"/>
        </w:rPr>
        <w:t xml:space="preserve"> </w:t>
      </w:r>
      <w:r w:rsidR="004C6513">
        <w:rPr>
          <w:rFonts w:ascii="Arial" w:hAnsi="Arial" w:cs="Arial"/>
          <w:sz w:val="22"/>
          <w:szCs w:val="22"/>
        </w:rPr>
        <w:t>May</w:t>
      </w:r>
      <w:r w:rsidR="00D960DC" w:rsidRPr="00B93D80">
        <w:rPr>
          <w:rFonts w:ascii="Arial" w:hAnsi="Arial" w:cs="Arial"/>
          <w:sz w:val="22"/>
          <w:szCs w:val="22"/>
        </w:rPr>
        <w:t xml:space="preserve"> 202</w:t>
      </w:r>
      <w:r w:rsidR="004C6513">
        <w:rPr>
          <w:rFonts w:ascii="Arial" w:hAnsi="Arial" w:cs="Arial"/>
          <w:sz w:val="22"/>
          <w:szCs w:val="22"/>
        </w:rPr>
        <w:t>6</w:t>
      </w:r>
      <w:r w:rsidRPr="00B93D80">
        <w:rPr>
          <w:rFonts w:ascii="Arial" w:hAnsi="Arial" w:cs="Arial"/>
          <w:sz w:val="22"/>
          <w:szCs w:val="22"/>
        </w:rPr>
        <w:t xml:space="preserve"> met the requirements of the Locali</w:t>
      </w:r>
      <w:r w:rsidR="00D960DC" w:rsidRPr="00B93D80">
        <w:rPr>
          <w:rFonts w:ascii="Arial" w:hAnsi="Arial" w:cs="Arial"/>
          <w:sz w:val="22"/>
          <w:szCs w:val="22"/>
        </w:rPr>
        <w:t>sm Act 2011</w:t>
      </w:r>
      <w:r w:rsidRPr="00B93D80">
        <w:rPr>
          <w:rFonts w:ascii="Arial" w:hAnsi="Arial" w:cs="Arial"/>
          <w:sz w:val="22"/>
          <w:szCs w:val="22"/>
        </w:rPr>
        <w:t xml:space="preserve"> and posed the question: 'Do you want Bassetlaw District Council to use the Neighbourhood Plan </w:t>
      </w:r>
      <w:r w:rsidR="00C429A4" w:rsidRPr="00B93D80">
        <w:rPr>
          <w:rFonts w:ascii="Arial" w:hAnsi="Arial" w:cs="Arial"/>
          <w:sz w:val="22"/>
          <w:szCs w:val="22"/>
        </w:rPr>
        <w:t>for</w:t>
      </w:r>
      <w:r w:rsidR="00D960DC" w:rsidRPr="00B93D80">
        <w:rPr>
          <w:rFonts w:ascii="Arial" w:hAnsi="Arial" w:cs="Arial"/>
          <w:sz w:val="22"/>
          <w:szCs w:val="22"/>
        </w:rPr>
        <w:t xml:space="preserve"> </w:t>
      </w:r>
      <w:r w:rsidR="00641FCC">
        <w:rPr>
          <w:rFonts w:ascii="Arial" w:hAnsi="Arial" w:cs="Arial"/>
          <w:sz w:val="22"/>
          <w:szCs w:val="22"/>
        </w:rPr>
        <w:t>Harworth and Bircotes</w:t>
      </w:r>
      <w:r w:rsidRPr="00B93D80">
        <w:rPr>
          <w:rFonts w:ascii="Arial" w:hAnsi="Arial" w:cs="Arial"/>
          <w:sz w:val="22"/>
          <w:szCs w:val="22"/>
        </w:rPr>
        <w:t xml:space="preserve"> to help it decide planning applications in the neighbourhood area</w:t>
      </w:r>
      <w:r w:rsidR="00D960DC" w:rsidRPr="00B93D80">
        <w:rPr>
          <w:rFonts w:ascii="Arial" w:hAnsi="Arial" w:cs="Arial"/>
          <w:sz w:val="22"/>
          <w:szCs w:val="22"/>
        </w:rPr>
        <w:t>?</w:t>
      </w:r>
      <w:r w:rsidRPr="00B93D80">
        <w:rPr>
          <w:rFonts w:ascii="Arial" w:hAnsi="Arial" w:cs="Arial"/>
          <w:sz w:val="22"/>
          <w:szCs w:val="22"/>
        </w:rPr>
        <w:t>’.</w:t>
      </w:r>
    </w:p>
    <w:p w14:paraId="204790C7" w14:textId="7B09A6DA"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The</w:t>
      </w:r>
      <w:r w:rsidR="00A11AE6" w:rsidRPr="00B93D80">
        <w:rPr>
          <w:rFonts w:ascii="Arial" w:hAnsi="Arial" w:cs="Arial"/>
          <w:sz w:val="22"/>
          <w:szCs w:val="22"/>
        </w:rPr>
        <w:t xml:space="preserve"> count took place on the </w:t>
      </w:r>
      <w:r w:rsidR="00D960DC" w:rsidRPr="00B93D80">
        <w:rPr>
          <w:rFonts w:ascii="Arial" w:hAnsi="Arial" w:cs="Arial"/>
          <w:sz w:val="22"/>
          <w:szCs w:val="22"/>
        </w:rPr>
        <w:t xml:space="preserve">evening </w:t>
      </w:r>
      <w:r w:rsidRPr="00B93D80">
        <w:rPr>
          <w:rFonts w:ascii="Arial" w:hAnsi="Arial" w:cs="Arial"/>
          <w:sz w:val="22"/>
          <w:szCs w:val="22"/>
        </w:rPr>
        <w:t xml:space="preserve">of the </w:t>
      </w:r>
      <w:r w:rsidR="004C6513">
        <w:rPr>
          <w:rFonts w:ascii="Arial" w:hAnsi="Arial" w:cs="Arial"/>
          <w:sz w:val="22"/>
          <w:szCs w:val="22"/>
        </w:rPr>
        <w:t>21</w:t>
      </w:r>
      <w:r w:rsidR="003E689B" w:rsidRPr="00B93D80">
        <w:rPr>
          <w:rFonts w:ascii="Arial" w:hAnsi="Arial" w:cs="Arial"/>
          <w:sz w:val="22"/>
          <w:szCs w:val="22"/>
        </w:rPr>
        <w:t xml:space="preserve"> </w:t>
      </w:r>
      <w:r w:rsidR="00D21605">
        <w:rPr>
          <w:rFonts w:ascii="Arial" w:hAnsi="Arial" w:cs="Arial"/>
          <w:sz w:val="22"/>
          <w:szCs w:val="22"/>
        </w:rPr>
        <w:t>May 2026</w:t>
      </w:r>
      <w:r w:rsidR="0055059C" w:rsidRPr="00B93D80">
        <w:rPr>
          <w:rFonts w:ascii="Arial" w:hAnsi="Arial" w:cs="Arial"/>
          <w:sz w:val="22"/>
          <w:szCs w:val="22"/>
        </w:rPr>
        <w:t xml:space="preserve"> following the close of poll,</w:t>
      </w:r>
      <w:r w:rsidR="00D960DC" w:rsidRPr="00B93D80">
        <w:rPr>
          <w:rFonts w:ascii="Arial" w:hAnsi="Arial" w:cs="Arial"/>
          <w:sz w:val="22"/>
          <w:szCs w:val="22"/>
        </w:rPr>
        <w:t xml:space="preserve"> </w:t>
      </w:r>
      <w:r w:rsidRPr="00B93D80">
        <w:rPr>
          <w:rFonts w:ascii="Arial" w:hAnsi="Arial" w:cs="Arial"/>
          <w:sz w:val="22"/>
          <w:szCs w:val="22"/>
        </w:rPr>
        <w:t>and greater than 50% of those who voted were in favour of the plan being used to help decide planning applications in the plan area.</w:t>
      </w:r>
    </w:p>
    <w:p w14:paraId="7489E6D9"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The results of the referendum were: </w:t>
      </w:r>
    </w:p>
    <w:p w14:paraId="2C8DDED2" w14:textId="142768C5" w:rsidR="006126C4" w:rsidRPr="00B93D80" w:rsidRDefault="00DA0572" w:rsidP="006126C4">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t xml:space="preserve">Number cast in favour of a </w:t>
      </w:r>
      <w:r w:rsidR="00B93D80" w:rsidRPr="00B93D80">
        <w:rPr>
          <w:rFonts w:ascii="Arial" w:hAnsi="Arial" w:cs="Arial"/>
          <w:b/>
          <w:bCs/>
          <w:color w:val="1E2125"/>
          <w:sz w:val="22"/>
          <w:szCs w:val="22"/>
        </w:rPr>
        <w:t>Yes</w:t>
      </w:r>
      <w:r w:rsidR="0055059C" w:rsidRPr="00B93D80">
        <w:rPr>
          <w:rFonts w:ascii="Arial" w:hAnsi="Arial" w:cs="Arial"/>
          <w:color w:val="1E2125"/>
          <w:sz w:val="22"/>
          <w:szCs w:val="22"/>
        </w:rPr>
        <w:t xml:space="preserve">: </w:t>
      </w:r>
      <w:r w:rsidR="00A87F84">
        <w:rPr>
          <w:rFonts w:ascii="Arial" w:hAnsi="Arial" w:cs="Arial"/>
          <w:color w:val="1E2125"/>
          <w:sz w:val="22"/>
          <w:szCs w:val="22"/>
        </w:rPr>
        <w:t>622</w:t>
      </w:r>
      <w:r w:rsidR="0055059C" w:rsidRPr="00B93D80">
        <w:rPr>
          <w:rFonts w:ascii="Arial" w:hAnsi="Arial" w:cs="Arial"/>
          <w:color w:val="1E2125"/>
          <w:sz w:val="22"/>
          <w:szCs w:val="22"/>
        </w:rPr>
        <w:t xml:space="preserve"> (</w:t>
      </w:r>
      <w:r w:rsidR="0079299C">
        <w:rPr>
          <w:rFonts w:ascii="Arial" w:hAnsi="Arial" w:cs="Arial"/>
          <w:color w:val="1E2125"/>
          <w:sz w:val="22"/>
          <w:szCs w:val="22"/>
        </w:rPr>
        <w:t>8</w:t>
      </w:r>
      <w:r w:rsidR="00A87F84">
        <w:rPr>
          <w:rFonts w:ascii="Arial" w:hAnsi="Arial" w:cs="Arial"/>
          <w:color w:val="1E2125"/>
          <w:sz w:val="22"/>
          <w:szCs w:val="22"/>
        </w:rPr>
        <w:t>5</w:t>
      </w:r>
      <w:r w:rsidR="0055059C" w:rsidRPr="00B93D80">
        <w:rPr>
          <w:rFonts w:ascii="Arial" w:hAnsi="Arial" w:cs="Arial"/>
          <w:color w:val="1E2125"/>
          <w:sz w:val="22"/>
          <w:szCs w:val="22"/>
        </w:rPr>
        <w:t>%)</w:t>
      </w:r>
      <w:r w:rsidRPr="00B93D80">
        <w:rPr>
          <w:rFonts w:ascii="Arial" w:hAnsi="Arial" w:cs="Arial"/>
          <w:color w:val="1E2125"/>
          <w:sz w:val="22"/>
          <w:szCs w:val="22"/>
        </w:rPr>
        <w:br/>
        <w:t xml:space="preserve">Number cast in favour of a </w:t>
      </w:r>
      <w:r w:rsidR="00B93D80" w:rsidRPr="00B93D80">
        <w:rPr>
          <w:rFonts w:ascii="Arial" w:hAnsi="Arial" w:cs="Arial"/>
          <w:b/>
          <w:bCs/>
          <w:color w:val="1E2125"/>
          <w:sz w:val="22"/>
          <w:szCs w:val="22"/>
        </w:rPr>
        <w:t>No</w:t>
      </w:r>
      <w:r w:rsidR="0055059C" w:rsidRPr="00B93D80">
        <w:rPr>
          <w:rFonts w:ascii="Arial" w:hAnsi="Arial" w:cs="Arial"/>
          <w:color w:val="1E2125"/>
          <w:sz w:val="22"/>
          <w:szCs w:val="22"/>
        </w:rPr>
        <w:t xml:space="preserve">: </w:t>
      </w:r>
      <w:r w:rsidR="00D21605">
        <w:rPr>
          <w:rFonts w:ascii="Arial" w:hAnsi="Arial" w:cs="Arial"/>
          <w:color w:val="1E2125"/>
          <w:sz w:val="22"/>
          <w:szCs w:val="22"/>
        </w:rPr>
        <w:t>1</w:t>
      </w:r>
      <w:r w:rsidR="00A87F84">
        <w:rPr>
          <w:rFonts w:ascii="Arial" w:hAnsi="Arial" w:cs="Arial"/>
          <w:color w:val="1E2125"/>
          <w:sz w:val="22"/>
          <w:szCs w:val="22"/>
        </w:rPr>
        <w:t>00</w:t>
      </w:r>
      <w:r w:rsidR="0055059C" w:rsidRPr="00B93D80">
        <w:rPr>
          <w:rFonts w:ascii="Arial" w:hAnsi="Arial" w:cs="Arial"/>
          <w:color w:val="1E2125"/>
          <w:sz w:val="22"/>
          <w:szCs w:val="22"/>
        </w:rPr>
        <w:t xml:space="preserve"> (</w:t>
      </w:r>
      <w:r w:rsidR="0079299C">
        <w:rPr>
          <w:rFonts w:ascii="Arial" w:hAnsi="Arial" w:cs="Arial"/>
          <w:color w:val="1E2125"/>
          <w:sz w:val="22"/>
          <w:szCs w:val="22"/>
        </w:rPr>
        <w:t>1</w:t>
      </w:r>
      <w:r w:rsidR="00A87F84">
        <w:rPr>
          <w:rFonts w:ascii="Arial" w:hAnsi="Arial" w:cs="Arial"/>
          <w:color w:val="1E2125"/>
          <w:sz w:val="22"/>
          <w:szCs w:val="22"/>
        </w:rPr>
        <w:t>5</w:t>
      </w:r>
      <w:r w:rsidR="0055059C" w:rsidRPr="00B93D80">
        <w:rPr>
          <w:rFonts w:ascii="Arial" w:hAnsi="Arial" w:cs="Arial"/>
          <w:color w:val="1E2125"/>
          <w:sz w:val="22"/>
          <w:szCs w:val="22"/>
        </w:rPr>
        <w:t>%)</w:t>
      </w:r>
      <w:r w:rsidR="006126C4">
        <w:rPr>
          <w:rFonts w:ascii="Arial" w:hAnsi="Arial" w:cs="Arial"/>
          <w:color w:val="1E2125"/>
          <w:sz w:val="22"/>
          <w:szCs w:val="22"/>
        </w:rPr>
        <w:br/>
      </w:r>
      <w:r w:rsidR="006126C4" w:rsidRPr="006126C4">
        <w:rPr>
          <w:rFonts w:ascii="Arial" w:hAnsi="Arial" w:cs="Arial"/>
          <w:color w:val="1E2125"/>
          <w:sz w:val="22"/>
          <w:szCs w:val="22"/>
        </w:rPr>
        <w:t>Number of spoilt ballots</w:t>
      </w:r>
      <w:r w:rsidR="006126C4">
        <w:rPr>
          <w:rFonts w:ascii="Arial" w:hAnsi="Arial" w:cs="Arial"/>
          <w:color w:val="1E2125"/>
          <w:sz w:val="22"/>
          <w:szCs w:val="22"/>
        </w:rPr>
        <w:t>: 6</w:t>
      </w:r>
    </w:p>
    <w:p w14:paraId="269124C6" w14:textId="677F6ECD" w:rsidR="0019583D" w:rsidRPr="00B93D80" w:rsidRDefault="00DA0572" w:rsidP="00DA0572">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lastRenderedPageBreak/>
        <w:t xml:space="preserve">Turnout: </w:t>
      </w:r>
      <w:r w:rsidR="00A87F84">
        <w:rPr>
          <w:rFonts w:ascii="Arial" w:hAnsi="Arial" w:cs="Arial"/>
          <w:color w:val="1E2125"/>
          <w:sz w:val="22"/>
          <w:szCs w:val="22"/>
        </w:rPr>
        <w:t>728</w:t>
      </w:r>
      <w:r w:rsidR="0055059C" w:rsidRPr="00B93D80">
        <w:rPr>
          <w:rFonts w:ascii="Arial" w:hAnsi="Arial" w:cs="Arial"/>
          <w:color w:val="1E2125"/>
          <w:sz w:val="22"/>
          <w:szCs w:val="22"/>
        </w:rPr>
        <w:t xml:space="preserve"> (</w:t>
      </w:r>
      <w:r w:rsidR="00A87F84">
        <w:rPr>
          <w:rFonts w:ascii="Arial" w:hAnsi="Arial" w:cs="Arial"/>
          <w:color w:val="1E2125"/>
          <w:sz w:val="22"/>
          <w:szCs w:val="22"/>
        </w:rPr>
        <w:t>9.85</w:t>
      </w:r>
      <w:r w:rsidRPr="00B93D80">
        <w:rPr>
          <w:rFonts w:ascii="Arial" w:hAnsi="Arial" w:cs="Arial"/>
          <w:color w:val="1E2125"/>
          <w:sz w:val="22"/>
          <w:szCs w:val="22"/>
        </w:rPr>
        <w:t>%</w:t>
      </w:r>
      <w:r w:rsidR="0055059C" w:rsidRPr="00B93D80">
        <w:rPr>
          <w:rFonts w:ascii="Arial" w:hAnsi="Arial" w:cs="Arial"/>
          <w:color w:val="1E2125"/>
          <w:sz w:val="22"/>
          <w:szCs w:val="22"/>
        </w:rPr>
        <w:t>)</w:t>
      </w:r>
    </w:p>
    <w:p w14:paraId="293C7E6C" w14:textId="042FF14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Bassetlaw District Council has assessed that the </w:t>
      </w:r>
      <w:r w:rsidR="00425EF0" w:rsidRPr="00B93D80">
        <w:rPr>
          <w:rFonts w:ascii="Arial" w:hAnsi="Arial" w:cs="Arial"/>
          <w:sz w:val="22"/>
          <w:szCs w:val="22"/>
        </w:rPr>
        <w:t>P</w:t>
      </w:r>
      <w:r w:rsidRPr="00B93D80">
        <w:rPr>
          <w:rFonts w:ascii="Arial" w:hAnsi="Arial" w:cs="Arial"/>
          <w:sz w:val="22"/>
          <w:szCs w:val="22"/>
        </w:rPr>
        <w:t>lan</w:t>
      </w:r>
      <w:r w:rsidR="00425EF0" w:rsidRPr="00B93D80">
        <w:rPr>
          <w:rFonts w:ascii="Arial" w:hAnsi="Arial" w:cs="Arial"/>
          <w:sz w:val="22"/>
          <w:szCs w:val="22"/>
        </w:rPr>
        <w:t>,</w:t>
      </w:r>
      <w:r w:rsidRPr="00B93D80">
        <w:rPr>
          <w:rFonts w:ascii="Arial" w:hAnsi="Arial" w:cs="Arial"/>
          <w:sz w:val="22"/>
          <w:szCs w:val="22"/>
        </w:rPr>
        <w:t xml:space="preserve"> including its preparation</w:t>
      </w:r>
      <w:r w:rsidR="00425EF0" w:rsidRPr="00B93D80">
        <w:rPr>
          <w:rFonts w:ascii="Arial" w:hAnsi="Arial" w:cs="Arial"/>
          <w:sz w:val="22"/>
          <w:szCs w:val="22"/>
        </w:rPr>
        <w:t>,</w:t>
      </w:r>
      <w:r w:rsidRPr="00B93D80">
        <w:rPr>
          <w:rFonts w:ascii="Arial" w:hAnsi="Arial" w:cs="Arial"/>
          <w:sz w:val="22"/>
          <w:szCs w:val="22"/>
        </w:rPr>
        <w:t xml:space="preserve"> does not breach, and would not otherwise be incompatible, with, any EU obligation or any of the Convention rights (within the meaning of the Human Rights Act 1998).</w:t>
      </w:r>
    </w:p>
    <w:p w14:paraId="10CABB72" w14:textId="4B7E4B07" w:rsidR="003E7DC5" w:rsidRPr="00B93D80" w:rsidRDefault="0019583D" w:rsidP="00521575">
      <w:pPr>
        <w:pStyle w:val="NumberedParagraph"/>
        <w:rPr>
          <w:rFonts w:ascii="Arial" w:hAnsi="Arial" w:cs="Arial"/>
          <w:sz w:val="22"/>
          <w:szCs w:val="22"/>
        </w:rPr>
      </w:pPr>
      <w:r w:rsidRPr="00B93D80">
        <w:rPr>
          <w:rFonts w:ascii="Arial" w:hAnsi="Arial" w:cs="Arial"/>
          <w:sz w:val="22"/>
          <w:szCs w:val="22"/>
        </w:rPr>
        <w:t xml:space="preserve">In accordance with the Regulations and the </w:t>
      </w:r>
      <w:r w:rsidR="00B93D80">
        <w:rPr>
          <w:rFonts w:ascii="Arial" w:hAnsi="Arial" w:cs="Arial"/>
          <w:sz w:val="22"/>
          <w:szCs w:val="22"/>
        </w:rPr>
        <w:t xml:space="preserve">District </w:t>
      </w:r>
      <w:r w:rsidRPr="00B93D80">
        <w:rPr>
          <w:rFonts w:ascii="Arial" w:hAnsi="Arial" w:cs="Arial"/>
          <w:sz w:val="22"/>
          <w:szCs w:val="22"/>
        </w:rPr>
        <w:t xml:space="preserve">Council’s </w:t>
      </w:r>
      <w:r w:rsidR="00521575" w:rsidRPr="00B93D80">
        <w:rPr>
          <w:rFonts w:ascii="Arial" w:hAnsi="Arial" w:cs="Arial"/>
          <w:sz w:val="22"/>
          <w:szCs w:val="22"/>
        </w:rPr>
        <w:t>procedure</w:t>
      </w:r>
      <w:r w:rsidR="006F30D5" w:rsidRPr="00B93D80">
        <w:rPr>
          <w:rFonts w:ascii="Arial" w:hAnsi="Arial" w:cs="Arial"/>
          <w:sz w:val="22"/>
          <w:szCs w:val="22"/>
        </w:rPr>
        <w:t>,</w:t>
      </w:r>
      <w:r w:rsidRPr="00B93D80">
        <w:rPr>
          <w:rFonts w:ascii="Arial" w:hAnsi="Arial" w:cs="Arial"/>
          <w:sz w:val="22"/>
          <w:szCs w:val="22"/>
        </w:rPr>
        <w:t xml:space="preserve"> the </w:t>
      </w:r>
      <w:r w:rsidR="006F30D5" w:rsidRPr="00B93D80">
        <w:rPr>
          <w:rFonts w:ascii="Arial" w:hAnsi="Arial" w:cs="Arial"/>
          <w:sz w:val="22"/>
          <w:szCs w:val="22"/>
        </w:rPr>
        <w:t xml:space="preserve">reviewed </w:t>
      </w:r>
      <w:r w:rsidR="001723C2">
        <w:rPr>
          <w:rFonts w:ascii="Arial" w:hAnsi="Arial" w:cs="Arial"/>
          <w:sz w:val="22"/>
          <w:szCs w:val="22"/>
        </w:rPr>
        <w:t>Harworth and Bircotes</w:t>
      </w:r>
      <w:r w:rsidR="002E6700">
        <w:rPr>
          <w:rFonts w:ascii="Arial" w:hAnsi="Arial" w:cs="Arial"/>
          <w:sz w:val="22"/>
          <w:szCs w:val="22"/>
        </w:rPr>
        <w:t xml:space="preserve"> </w:t>
      </w:r>
      <w:r w:rsidR="006F30D5" w:rsidRPr="00B93D80">
        <w:rPr>
          <w:rFonts w:ascii="Arial" w:hAnsi="Arial" w:cs="Arial"/>
          <w:sz w:val="22"/>
          <w:szCs w:val="22"/>
        </w:rPr>
        <w:t xml:space="preserve">Neighbourhood Plan </w:t>
      </w:r>
      <w:r w:rsidR="00C44E7D" w:rsidRPr="00B93D80">
        <w:rPr>
          <w:rFonts w:ascii="Arial" w:hAnsi="Arial" w:cs="Arial"/>
          <w:sz w:val="22"/>
          <w:szCs w:val="22"/>
        </w:rPr>
        <w:t>i</w:t>
      </w:r>
      <w:r w:rsidR="006F30D5" w:rsidRPr="00B93D80">
        <w:rPr>
          <w:rFonts w:ascii="Arial" w:hAnsi="Arial" w:cs="Arial"/>
          <w:sz w:val="22"/>
          <w:szCs w:val="22"/>
        </w:rPr>
        <w:t xml:space="preserve">s </w:t>
      </w:r>
      <w:r w:rsidR="00425EF0" w:rsidRPr="00B93D80">
        <w:rPr>
          <w:rFonts w:ascii="Arial" w:hAnsi="Arial" w:cs="Arial"/>
          <w:sz w:val="22"/>
          <w:szCs w:val="22"/>
        </w:rPr>
        <w:t>duly adopted</w:t>
      </w:r>
      <w:r w:rsidRPr="00B93D80">
        <w:rPr>
          <w:rFonts w:ascii="Arial" w:hAnsi="Arial" w:cs="Arial"/>
          <w:sz w:val="22"/>
          <w:szCs w:val="22"/>
        </w:rPr>
        <w:t xml:space="preserve"> </w:t>
      </w:r>
      <w:r w:rsidR="006F30D5" w:rsidRPr="00B93D80">
        <w:rPr>
          <w:rFonts w:ascii="Arial" w:hAnsi="Arial" w:cs="Arial"/>
          <w:sz w:val="22"/>
          <w:szCs w:val="22"/>
        </w:rPr>
        <w:t xml:space="preserve">following the referendum held on </w:t>
      </w:r>
      <w:r w:rsidR="002E6700">
        <w:rPr>
          <w:rFonts w:ascii="Arial" w:hAnsi="Arial" w:cs="Arial"/>
          <w:sz w:val="22"/>
          <w:szCs w:val="22"/>
        </w:rPr>
        <w:t>21 May</w:t>
      </w:r>
      <w:r w:rsidR="003E689B" w:rsidRPr="00B93D80">
        <w:rPr>
          <w:rFonts w:ascii="Arial" w:hAnsi="Arial" w:cs="Arial"/>
          <w:sz w:val="22"/>
          <w:szCs w:val="22"/>
        </w:rPr>
        <w:t xml:space="preserve"> </w:t>
      </w:r>
      <w:r w:rsidR="002E6700">
        <w:rPr>
          <w:rFonts w:ascii="Arial" w:hAnsi="Arial" w:cs="Arial"/>
          <w:sz w:val="22"/>
          <w:szCs w:val="22"/>
        </w:rPr>
        <w:t>2026</w:t>
      </w:r>
      <w:r w:rsidR="006F30D5" w:rsidRPr="00B93D80">
        <w:rPr>
          <w:rFonts w:ascii="Arial" w:hAnsi="Arial" w:cs="Arial"/>
          <w:sz w:val="22"/>
          <w:szCs w:val="22"/>
        </w:rPr>
        <w:t>. P</w:t>
      </w:r>
      <w:r w:rsidRPr="00B93D80">
        <w:rPr>
          <w:rFonts w:ascii="Arial" w:hAnsi="Arial" w:cs="Arial"/>
          <w:sz w:val="22"/>
          <w:szCs w:val="22"/>
        </w:rPr>
        <w:t xml:space="preserve">lanning applications in the </w:t>
      </w:r>
      <w:r w:rsidR="00521575" w:rsidRPr="00B93D80">
        <w:rPr>
          <w:rFonts w:ascii="Arial" w:hAnsi="Arial" w:cs="Arial"/>
          <w:sz w:val="22"/>
          <w:szCs w:val="22"/>
        </w:rPr>
        <w:t>area</w:t>
      </w:r>
      <w:r w:rsidRPr="00B93D80">
        <w:rPr>
          <w:rFonts w:ascii="Arial" w:hAnsi="Arial" w:cs="Arial"/>
          <w:sz w:val="22"/>
          <w:szCs w:val="22"/>
        </w:rPr>
        <w:t xml:space="preserve"> must be considered against the </w:t>
      </w:r>
      <w:r w:rsidR="000619E5" w:rsidRPr="00B93D80">
        <w:rPr>
          <w:rFonts w:ascii="Arial" w:hAnsi="Arial" w:cs="Arial"/>
          <w:sz w:val="22"/>
          <w:szCs w:val="22"/>
        </w:rPr>
        <w:t>Neighbourhood Plan</w:t>
      </w:r>
      <w:r w:rsidRPr="00B93D80">
        <w:rPr>
          <w:rFonts w:ascii="Arial" w:hAnsi="Arial" w:cs="Arial"/>
          <w:sz w:val="22"/>
          <w:szCs w:val="22"/>
        </w:rPr>
        <w:t xml:space="preserve">, as well as existing planning policy, </w:t>
      </w:r>
      <w:r w:rsidR="005E1D38" w:rsidRPr="00B93D80">
        <w:rPr>
          <w:rFonts w:ascii="Arial" w:hAnsi="Arial" w:cs="Arial"/>
          <w:sz w:val="22"/>
          <w:szCs w:val="22"/>
        </w:rPr>
        <w:t>including</w:t>
      </w:r>
      <w:r w:rsidRPr="00B93D80">
        <w:rPr>
          <w:rFonts w:ascii="Arial" w:hAnsi="Arial" w:cs="Arial"/>
          <w:sz w:val="22"/>
          <w:szCs w:val="22"/>
        </w:rPr>
        <w:t xml:space="preserve"> the Bassetlaw </w:t>
      </w:r>
      <w:r w:rsidR="00425EF0" w:rsidRPr="00B93D80">
        <w:rPr>
          <w:rFonts w:ascii="Arial" w:hAnsi="Arial" w:cs="Arial"/>
          <w:sz w:val="22"/>
          <w:szCs w:val="22"/>
        </w:rPr>
        <w:t xml:space="preserve">Local Plan </w:t>
      </w:r>
      <w:r w:rsidRPr="00B93D80">
        <w:rPr>
          <w:rFonts w:ascii="Arial" w:hAnsi="Arial" w:cs="Arial"/>
          <w:sz w:val="22"/>
          <w:szCs w:val="22"/>
        </w:rPr>
        <w:t>and the National Planning Policy Framework and Guidance.</w:t>
      </w:r>
    </w:p>
    <w:p w14:paraId="4C85BF75" w14:textId="77777777" w:rsidR="004248C9" w:rsidRPr="00B93D80" w:rsidRDefault="004248C9" w:rsidP="004248C9">
      <w:pPr>
        <w:pStyle w:val="Heading4"/>
        <w:rPr>
          <w:rFonts w:ascii="Arial" w:hAnsi="Arial" w:cs="Arial"/>
        </w:rPr>
      </w:pPr>
    </w:p>
    <w:p w14:paraId="420ECA70" w14:textId="77777777" w:rsidR="004248C9" w:rsidRPr="00B93D80" w:rsidRDefault="00DA0572" w:rsidP="004248C9">
      <w:pPr>
        <w:pStyle w:val="NoSpacing"/>
        <w:rPr>
          <w:rFonts w:ascii="Arial" w:hAnsi="Arial" w:cs="Arial"/>
          <w:b/>
          <w:sz w:val="22"/>
        </w:rPr>
      </w:pPr>
      <w:r w:rsidRPr="00B93D80">
        <w:rPr>
          <w:rFonts w:ascii="Arial" w:hAnsi="Arial" w:cs="Arial"/>
          <w:b/>
          <w:sz w:val="22"/>
        </w:rPr>
        <w:t>Neighbourhood Planning</w:t>
      </w:r>
    </w:p>
    <w:p w14:paraId="4C7909D9" w14:textId="77777777" w:rsidR="004248C9" w:rsidRPr="00B93D80" w:rsidRDefault="004248C9" w:rsidP="004248C9">
      <w:pPr>
        <w:pStyle w:val="NoSpacing"/>
        <w:rPr>
          <w:rFonts w:ascii="Arial" w:hAnsi="Arial" w:cs="Arial"/>
          <w:sz w:val="22"/>
        </w:rPr>
      </w:pPr>
      <w:r w:rsidRPr="00B93D80">
        <w:rPr>
          <w:rFonts w:ascii="Arial" w:hAnsi="Arial" w:cs="Arial"/>
          <w:sz w:val="22"/>
        </w:rPr>
        <w:t>Bassetlaw District Council</w:t>
      </w:r>
    </w:p>
    <w:p w14:paraId="5A7B9788" w14:textId="31708728" w:rsidR="004248C9" w:rsidRPr="00B93D80" w:rsidRDefault="002E6700" w:rsidP="004248C9">
      <w:pPr>
        <w:pStyle w:val="NoSpacing"/>
        <w:rPr>
          <w:rFonts w:ascii="Arial" w:hAnsi="Arial" w:cs="Arial"/>
          <w:sz w:val="22"/>
        </w:rPr>
      </w:pPr>
      <w:bookmarkStart w:id="0" w:name="_Hlk214008767"/>
      <w:r>
        <w:rPr>
          <w:rFonts w:ascii="Arial" w:hAnsi="Arial" w:cs="Arial"/>
          <w:sz w:val="22"/>
        </w:rPr>
        <w:t>22</w:t>
      </w:r>
      <w:r w:rsidR="001D0622" w:rsidRPr="00B93D80">
        <w:rPr>
          <w:rFonts w:ascii="Arial" w:hAnsi="Arial" w:cs="Arial"/>
          <w:sz w:val="22"/>
        </w:rPr>
        <w:t xml:space="preserve"> </w:t>
      </w:r>
      <w:r>
        <w:rPr>
          <w:rFonts w:ascii="Arial" w:hAnsi="Arial" w:cs="Arial"/>
          <w:sz w:val="22"/>
        </w:rPr>
        <w:t>May 2026</w:t>
      </w:r>
    </w:p>
    <w:bookmarkEnd w:id="0"/>
    <w:p w14:paraId="3B74A4B9" w14:textId="04E013A5" w:rsidR="004531A2" w:rsidRPr="00B93D80" w:rsidRDefault="004531A2" w:rsidP="004248C9">
      <w:pPr>
        <w:pStyle w:val="NoSpacing"/>
        <w:rPr>
          <w:rFonts w:ascii="Arial" w:hAnsi="Arial" w:cs="Arial"/>
          <w:sz w:val="22"/>
        </w:rPr>
      </w:pPr>
    </w:p>
    <w:p w14:paraId="735DEF9C" w14:textId="77777777" w:rsidR="004531A2" w:rsidRPr="00B93D80" w:rsidRDefault="004531A2" w:rsidP="004531A2">
      <w:pPr>
        <w:pStyle w:val="NoSpacing"/>
        <w:rPr>
          <w:rFonts w:ascii="Arial" w:hAnsi="Arial" w:cs="Arial"/>
          <w:sz w:val="22"/>
        </w:rPr>
      </w:pPr>
      <w:hyperlink r:id="rId10" w:history="1">
        <w:r w:rsidRPr="00B93D80">
          <w:rPr>
            <w:rStyle w:val="Hyperlink"/>
            <w:rFonts w:ascii="Arial" w:hAnsi="Arial" w:cs="Arial"/>
            <w:color w:val="auto"/>
            <w:sz w:val="22"/>
          </w:rPr>
          <w:t>neighbourhoodplanning@bassetlaw.gov.uk</w:t>
        </w:r>
      </w:hyperlink>
      <w:r w:rsidRPr="00B93D80">
        <w:rPr>
          <w:rFonts w:ascii="Arial" w:hAnsi="Arial" w:cs="Arial"/>
          <w:sz w:val="22"/>
        </w:rPr>
        <w:t xml:space="preserve">   </w:t>
      </w:r>
    </w:p>
    <w:p w14:paraId="75BE3A51" w14:textId="77777777" w:rsidR="004531A2" w:rsidRPr="00B93D80" w:rsidRDefault="004531A2" w:rsidP="004531A2">
      <w:pPr>
        <w:pStyle w:val="NoSpacing"/>
        <w:rPr>
          <w:rFonts w:ascii="Arial" w:hAnsi="Arial" w:cs="Arial"/>
          <w:sz w:val="22"/>
        </w:rPr>
      </w:pPr>
      <w:r w:rsidRPr="00B93D80">
        <w:rPr>
          <w:rFonts w:ascii="Arial" w:hAnsi="Arial" w:cs="Arial"/>
          <w:sz w:val="22"/>
        </w:rPr>
        <w:t>01909 533 495</w:t>
      </w:r>
    </w:p>
    <w:p w14:paraId="235E4A87" w14:textId="77777777" w:rsidR="004531A2" w:rsidRPr="00B93D80" w:rsidRDefault="004531A2" w:rsidP="004248C9">
      <w:pPr>
        <w:pStyle w:val="NoSpacing"/>
        <w:rPr>
          <w:rFonts w:ascii="Arial" w:hAnsi="Arial" w:cs="Arial"/>
          <w:sz w:val="22"/>
        </w:rPr>
      </w:pPr>
    </w:p>
    <w:sectPr w:rsidR="004531A2" w:rsidRPr="00B93D80" w:rsidSect="008D3E24">
      <w:headerReference w:type="default" r:id="rId11"/>
      <w:footerReference w:type="default" r:id="rId12"/>
      <w:pgSz w:w="11906" w:h="16838" w:code="9"/>
      <w:pgMar w:top="1440" w:right="1440" w:bottom="1440" w:left="1440" w:header="426"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8F5F" w14:textId="77777777" w:rsidR="0019543B" w:rsidRDefault="0019543B" w:rsidP="00DE1630">
      <w:pPr>
        <w:spacing w:after="0" w:line="240" w:lineRule="auto"/>
      </w:pPr>
      <w:r>
        <w:separator/>
      </w:r>
    </w:p>
  </w:endnote>
  <w:endnote w:type="continuationSeparator" w:id="0">
    <w:p w14:paraId="0DBB944B" w14:textId="77777777" w:rsidR="0019543B" w:rsidRDefault="0019543B"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12949"/>
      <w:docPartObj>
        <w:docPartGallery w:val="Page Numbers (Bottom of Page)"/>
        <w:docPartUnique/>
      </w:docPartObj>
    </w:sdtPr>
    <w:sdtEndPr>
      <w:rPr>
        <w:noProof/>
      </w:rPr>
    </w:sdtEndPr>
    <w:sdtContent>
      <w:p w14:paraId="3EDB61CC" w14:textId="77777777" w:rsidR="00521575" w:rsidRDefault="00521575">
        <w:pPr>
          <w:pStyle w:val="Footer"/>
          <w:jc w:val="right"/>
        </w:pPr>
        <w:r>
          <w:fldChar w:fldCharType="begin"/>
        </w:r>
        <w:r>
          <w:instrText xml:space="preserve"> PAGE   \* MERGEFORMAT </w:instrText>
        </w:r>
        <w:r>
          <w:fldChar w:fldCharType="separate"/>
        </w:r>
        <w:r w:rsidR="000619E5">
          <w:rPr>
            <w:noProof/>
          </w:rPr>
          <w:t>3</w:t>
        </w:r>
        <w:r>
          <w:rPr>
            <w:noProof/>
          </w:rPr>
          <w:fldChar w:fldCharType="end"/>
        </w:r>
      </w:p>
    </w:sdtContent>
  </w:sdt>
  <w:p w14:paraId="0143A5A8" w14:textId="77777777" w:rsidR="002C42E1" w:rsidRDefault="002C42E1" w:rsidP="003E7DC5">
    <w:pPr>
      <w:pStyle w:val="Footer"/>
      <w:tabs>
        <w:tab w:val="clear" w:pos="4513"/>
        <w:tab w:val="clear" w:pos="9026"/>
        <w:tab w:val="left" w:pos="15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BD7F" w14:textId="77777777" w:rsidR="0019543B" w:rsidRDefault="0019543B" w:rsidP="00DE1630">
      <w:pPr>
        <w:spacing w:after="0" w:line="240" w:lineRule="auto"/>
      </w:pPr>
      <w:r>
        <w:separator/>
      </w:r>
    </w:p>
  </w:footnote>
  <w:footnote w:type="continuationSeparator" w:id="0">
    <w:p w14:paraId="2FF1F54D" w14:textId="77777777" w:rsidR="0019543B" w:rsidRDefault="0019543B"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89D1" w14:textId="77777777" w:rsidR="002C42E1" w:rsidRDefault="002C42E1" w:rsidP="003C22C5">
    <w:pPr>
      <w:pStyle w:val="Header"/>
      <w:tabs>
        <w:tab w:val="clear" w:pos="4513"/>
        <w:tab w:val="clear" w:pos="9026"/>
        <w:tab w:val="left" w:pos="79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6D"/>
    <w:multiLevelType w:val="multilevel"/>
    <w:tmpl w:val="A5E2402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ED0FA9"/>
    <w:multiLevelType w:val="hybridMultilevel"/>
    <w:tmpl w:val="D6B6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6D60"/>
    <w:multiLevelType w:val="hybridMultilevel"/>
    <w:tmpl w:val="B01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4ADF"/>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DD67CF9"/>
    <w:multiLevelType w:val="hybridMultilevel"/>
    <w:tmpl w:val="655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577DC"/>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2E5734"/>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18A17AA"/>
    <w:multiLevelType w:val="hybridMultilevel"/>
    <w:tmpl w:val="9B6E68C2"/>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D19C1"/>
    <w:multiLevelType w:val="hybridMultilevel"/>
    <w:tmpl w:val="699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F1FC2"/>
    <w:multiLevelType w:val="multilevel"/>
    <w:tmpl w:val="FC947368"/>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6E42094"/>
    <w:multiLevelType w:val="multilevel"/>
    <w:tmpl w:val="EB9A2152"/>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AF82BC0"/>
    <w:multiLevelType w:val="multilevel"/>
    <w:tmpl w:val="82ACA04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B144746"/>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460086C"/>
    <w:multiLevelType w:val="hybridMultilevel"/>
    <w:tmpl w:val="7BD0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D33AF"/>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70D3C93"/>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A340B26"/>
    <w:multiLevelType w:val="hybridMultilevel"/>
    <w:tmpl w:val="C75A46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BB716FF"/>
    <w:multiLevelType w:val="hybridMultilevel"/>
    <w:tmpl w:val="E5F4469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8" w15:restartNumberingAfterBreak="0">
    <w:nsid w:val="3C6364C3"/>
    <w:multiLevelType w:val="hybridMultilevel"/>
    <w:tmpl w:val="C50A8FFE"/>
    <w:lvl w:ilvl="0" w:tplc="1332C910">
      <w:numFmt w:val="bullet"/>
      <w:lvlText w:val="•"/>
      <w:lvlJc w:val="left"/>
      <w:pPr>
        <w:ind w:left="1440" w:hanging="720"/>
      </w:pPr>
      <w:rPr>
        <w:rFonts w:ascii="Swis721 BT" w:eastAsiaTheme="minorHAnsi" w:hAnsi="Swis721 BT"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4400A3"/>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F7E185D"/>
    <w:multiLevelType w:val="hybridMultilevel"/>
    <w:tmpl w:val="974C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210A3"/>
    <w:multiLevelType w:val="hybridMultilevel"/>
    <w:tmpl w:val="59AA37F2"/>
    <w:lvl w:ilvl="0" w:tplc="05D63382">
      <w:numFmt w:val="bullet"/>
      <w:lvlText w:val="•"/>
      <w:lvlJc w:val="left"/>
      <w:pPr>
        <w:ind w:left="3" w:hanging="570"/>
      </w:pPr>
      <w:rPr>
        <w:rFonts w:ascii="Franklin Gothic Book" w:eastAsiaTheme="minorHAnsi" w:hAnsi="Franklin Gothic Book"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2" w15:restartNumberingAfterBreak="0">
    <w:nsid w:val="40937A37"/>
    <w:multiLevelType w:val="hybridMultilevel"/>
    <w:tmpl w:val="DB5AA272"/>
    <w:lvl w:ilvl="0" w:tplc="05D63382">
      <w:numFmt w:val="bullet"/>
      <w:lvlText w:val="•"/>
      <w:lvlJc w:val="left"/>
      <w:pPr>
        <w:ind w:left="570" w:hanging="57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33D416C"/>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BE14E19"/>
    <w:multiLevelType w:val="multilevel"/>
    <w:tmpl w:val="C8B8C18A"/>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D185853"/>
    <w:multiLevelType w:val="multilevel"/>
    <w:tmpl w:val="705E2076"/>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000000" w:themeColor="text1"/>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23C004A"/>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9270739"/>
    <w:multiLevelType w:val="hybridMultilevel"/>
    <w:tmpl w:val="A08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4822CC"/>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0DD3CA4"/>
    <w:multiLevelType w:val="multilevel"/>
    <w:tmpl w:val="59904A6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55A015F"/>
    <w:multiLevelType w:val="hybridMultilevel"/>
    <w:tmpl w:val="B1D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6701E"/>
    <w:multiLevelType w:val="hybridMultilevel"/>
    <w:tmpl w:val="DEA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84516"/>
    <w:multiLevelType w:val="hybridMultilevel"/>
    <w:tmpl w:val="5A3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D52DE"/>
    <w:multiLevelType w:val="hybridMultilevel"/>
    <w:tmpl w:val="CC8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44FF8"/>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1BD3797"/>
    <w:multiLevelType w:val="hybridMultilevel"/>
    <w:tmpl w:val="CB60C2B4"/>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D4105"/>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5410252"/>
    <w:multiLevelType w:val="multilevel"/>
    <w:tmpl w:val="B1FC9EDA"/>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377" w:hanging="569"/>
      </w:pPr>
      <w:rPr>
        <w:rFonts w:ascii="Symbol" w:eastAsia="Symbol" w:hAnsi="Symbol" w:cs="Symbol" w:hint="default"/>
        <w:w w:val="100"/>
        <w:sz w:val="22"/>
        <w:szCs w:val="22"/>
      </w:rPr>
    </w:lvl>
    <w:lvl w:ilvl="3">
      <w:numFmt w:val="bullet"/>
      <w:lvlText w:val="•"/>
      <w:lvlJc w:val="left"/>
      <w:pPr>
        <w:ind w:left="3145" w:hanging="569"/>
      </w:pPr>
      <w:rPr>
        <w:rFonts w:hint="default"/>
      </w:rPr>
    </w:lvl>
    <w:lvl w:ilvl="4">
      <w:numFmt w:val="bullet"/>
      <w:lvlText w:val="•"/>
      <w:lvlJc w:val="left"/>
      <w:pPr>
        <w:ind w:left="4028" w:hanging="569"/>
      </w:pPr>
      <w:rPr>
        <w:rFonts w:hint="default"/>
      </w:rPr>
    </w:lvl>
    <w:lvl w:ilvl="5">
      <w:numFmt w:val="bullet"/>
      <w:lvlText w:val="•"/>
      <w:lvlJc w:val="left"/>
      <w:pPr>
        <w:ind w:left="4911" w:hanging="569"/>
      </w:pPr>
      <w:rPr>
        <w:rFonts w:hint="default"/>
      </w:rPr>
    </w:lvl>
    <w:lvl w:ilvl="6">
      <w:numFmt w:val="bullet"/>
      <w:lvlText w:val="•"/>
      <w:lvlJc w:val="left"/>
      <w:pPr>
        <w:ind w:left="5794" w:hanging="569"/>
      </w:pPr>
      <w:rPr>
        <w:rFonts w:hint="default"/>
      </w:rPr>
    </w:lvl>
    <w:lvl w:ilvl="7">
      <w:numFmt w:val="bullet"/>
      <w:lvlText w:val="•"/>
      <w:lvlJc w:val="left"/>
      <w:pPr>
        <w:ind w:left="6677" w:hanging="569"/>
      </w:pPr>
      <w:rPr>
        <w:rFonts w:hint="default"/>
      </w:rPr>
    </w:lvl>
    <w:lvl w:ilvl="8">
      <w:numFmt w:val="bullet"/>
      <w:lvlText w:val="•"/>
      <w:lvlJc w:val="left"/>
      <w:pPr>
        <w:ind w:left="7560" w:hanging="569"/>
      </w:pPr>
      <w:rPr>
        <w:rFonts w:hint="default"/>
      </w:rPr>
    </w:lvl>
  </w:abstractNum>
  <w:abstractNum w:abstractNumId="38" w15:restartNumberingAfterBreak="0">
    <w:nsid w:val="77861242"/>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8133B52"/>
    <w:multiLevelType w:val="multilevel"/>
    <w:tmpl w:val="DB3405B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9423A25"/>
    <w:multiLevelType w:val="hybridMultilevel"/>
    <w:tmpl w:val="DDC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312343">
    <w:abstractNumId w:val="7"/>
  </w:num>
  <w:num w:numId="2" w16cid:durableId="276564012">
    <w:abstractNumId w:val="35"/>
  </w:num>
  <w:num w:numId="3" w16cid:durableId="318925909">
    <w:abstractNumId w:val="25"/>
  </w:num>
  <w:num w:numId="4" w16cid:durableId="1543591018">
    <w:abstractNumId w:val="0"/>
  </w:num>
  <w:num w:numId="5" w16cid:durableId="1961109162">
    <w:abstractNumId w:val="11"/>
  </w:num>
  <w:num w:numId="6" w16cid:durableId="540367447">
    <w:abstractNumId w:val="32"/>
  </w:num>
  <w:num w:numId="7" w16cid:durableId="1573347195">
    <w:abstractNumId w:val="39"/>
  </w:num>
  <w:num w:numId="8" w16cid:durableId="2038267563">
    <w:abstractNumId w:val="30"/>
  </w:num>
  <w:num w:numId="9" w16cid:durableId="1725569325">
    <w:abstractNumId w:val="28"/>
  </w:num>
  <w:num w:numId="10" w16cid:durableId="136804334">
    <w:abstractNumId w:val="19"/>
  </w:num>
  <w:num w:numId="11" w16cid:durableId="2075275703">
    <w:abstractNumId w:val="20"/>
  </w:num>
  <w:num w:numId="12" w16cid:durableId="1050032204">
    <w:abstractNumId w:val="9"/>
  </w:num>
  <w:num w:numId="13" w16cid:durableId="1833370452">
    <w:abstractNumId w:val="6"/>
  </w:num>
  <w:num w:numId="14" w16cid:durableId="465901976">
    <w:abstractNumId w:val="36"/>
  </w:num>
  <w:num w:numId="15" w16cid:durableId="1660042129">
    <w:abstractNumId w:val="26"/>
  </w:num>
  <w:num w:numId="16" w16cid:durableId="720444645">
    <w:abstractNumId w:val="23"/>
  </w:num>
  <w:num w:numId="17" w16cid:durableId="651445398">
    <w:abstractNumId w:val="12"/>
  </w:num>
  <w:num w:numId="18" w16cid:durableId="1597013581">
    <w:abstractNumId w:val="5"/>
  </w:num>
  <w:num w:numId="19" w16cid:durableId="1687167563">
    <w:abstractNumId w:val="14"/>
  </w:num>
  <w:num w:numId="20" w16cid:durableId="796803580">
    <w:abstractNumId w:val="34"/>
  </w:num>
  <w:num w:numId="21" w16cid:durableId="885021831">
    <w:abstractNumId w:val="29"/>
  </w:num>
  <w:num w:numId="22" w16cid:durableId="1598521089">
    <w:abstractNumId w:val="33"/>
  </w:num>
  <w:num w:numId="23" w16cid:durableId="387581248">
    <w:abstractNumId w:val="27"/>
  </w:num>
  <w:num w:numId="24" w16cid:durableId="772748215">
    <w:abstractNumId w:val="2"/>
  </w:num>
  <w:num w:numId="25" w16cid:durableId="1437865766">
    <w:abstractNumId w:val="16"/>
  </w:num>
  <w:num w:numId="26" w16cid:durableId="499539554">
    <w:abstractNumId w:val="21"/>
  </w:num>
  <w:num w:numId="27" w16cid:durableId="1954820973">
    <w:abstractNumId w:val="22"/>
  </w:num>
  <w:num w:numId="28" w16cid:durableId="637223412">
    <w:abstractNumId w:val="10"/>
  </w:num>
  <w:num w:numId="29" w16cid:durableId="1275014917">
    <w:abstractNumId w:val="31"/>
  </w:num>
  <w:num w:numId="30" w16cid:durableId="1730692979">
    <w:abstractNumId w:val="8"/>
  </w:num>
  <w:num w:numId="31" w16cid:durableId="1412461775">
    <w:abstractNumId w:val="13"/>
  </w:num>
  <w:num w:numId="32" w16cid:durableId="1958175760">
    <w:abstractNumId w:val="37"/>
  </w:num>
  <w:num w:numId="33" w16cid:durableId="431324450">
    <w:abstractNumId w:val="17"/>
  </w:num>
  <w:num w:numId="34" w16cid:durableId="1222714612">
    <w:abstractNumId w:val="18"/>
  </w:num>
  <w:num w:numId="35" w16cid:durableId="1087194713">
    <w:abstractNumId w:val="1"/>
  </w:num>
  <w:num w:numId="36" w16cid:durableId="281766579">
    <w:abstractNumId w:val="15"/>
  </w:num>
  <w:num w:numId="37" w16cid:durableId="955601732">
    <w:abstractNumId w:val="3"/>
  </w:num>
  <w:num w:numId="38" w16cid:durableId="926042519">
    <w:abstractNumId w:val="38"/>
  </w:num>
  <w:num w:numId="39" w16cid:durableId="1544052778">
    <w:abstractNumId w:val="24"/>
  </w:num>
  <w:num w:numId="40" w16cid:durableId="1169834241">
    <w:abstractNumId w:val="40"/>
  </w:num>
  <w:num w:numId="41" w16cid:durableId="18090802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4232"/>
    <w:rsid w:val="00010D8E"/>
    <w:rsid w:val="000145EA"/>
    <w:rsid w:val="000176DD"/>
    <w:rsid w:val="000202E6"/>
    <w:rsid w:val="000249A0"/>
    <w:rsid w:val="00027D80"/>
    <w:rsid w:val="00030154"/>
    <w:rsid w:val="0003058C"/>
    <w:rsid w:val="00031F4C"/>
    <w:rsid w:val="00032BCB"/>
    <w:rsid w:val="00032C43"/>
    <w:rsid w:val="00037CC7"/>
    <w:rsid w:val="000449E9"/>
    <w:rsid w:val="00050DE8"/>
    <w:rsid w:val="00053D73"/>
    <w:rsid w:val="00055CF9"/>
    <w:rsid w:val="000619E5"/>
    <w:rsid w:val="00064B69"/>
    <w:rsid w:val="00070F63"/>
    <w:rsid w:val="000848C5"/>
    <w:rsid w:val="00090185"/>
    <w:rsid w:val="0009650C"/>
    <w:rsid w:val="000969BB"/>
    <w:rsid w:val="000A007A"/>
    <w:rsid w:val="000B3AB6"/>
    <w:rsid w:val="000B44D0"/>
    <w:rsid w:val="000B5BD5"/>
    <w:rsid w:val="000C0DAB"/>
    <w:rsid w:val="000C25F2"/>
    <w:rsid w:val="000C3B4F"/>
    <w:rsid w:val="000C3F06"/>
    <w:rsid w:val="000C6B3E"/>
    <w:rsid w:val="000D1F73"/>
    <w:rsid w:val="000D59E4"/>
    <w:rsid w:val="000E44D4"/>
    <w:rsid w:val="000F0D3E"/>
    <w:rsid w:val="000F1C21"/>
    <w:rsid w:val="000F25AD"/>
    <w:rsid w:val="000F2CDE"/>
    <w:rsid w:val="000F5BA7"/>
    <w:rsid w:val="001044C7"/>
    <w:rsid w:val="00113186"/>
    <w:rsid w:val="00113BAA"/>
    <w:rsid w:val="0012426B"/>
    <w:rsid w:val="00125D67"/>
    <w:rsid w:val="00127C18"/>
    <w:rsid w:val="00132E3F"/>
    <w:rsid w:val="00134625"/>
    <w:rsid w:val="0013571A"/>
    <w:rsid w:val="001360B5"/>
    <w:rsid w:val="0014431F"/>
    <w:rsid w:val="001457C3"/>
    <w:rsid w:val="00147AD8"/>
    <w:rsid w:val="00167B81"/>
    <w:rsid w:val="001723C2"/>
    <w:rsid w:val="00175A3C"/>
    <w:rsid w:val="00175FBE"/>
    <w:rsid w:val="00177729"/>
    <w:rsid w:val="00177CC6"/>
    <w:rsid w:val="001824C1"/>
    <w:rsid w:val="001873B6"/>
    <w:rsid w:val="00190765"/>
    <w:rsid w:val="001916BB"/>
    <w:rsid w:val="001928E5"/>
    <w:rsid w:val="001948EC"/>
    <w:rsid w:val="0019543B"/>
    <w:rsid w:val="0019583D"/>
    <w:rsid w:val="00195D5A"/>
    <w:rsid w:val="001A16C3"/>
    <w:rsid w:val="001A569B"/>
    <w:rsid w:val="001A6DB7"/>
    <w:rsid w:val="001B0287"/>
    <w:rsid w:val="001B3D95"/>
    <w:rsid w:val="001B4E83"/>
    <w:rsid w:val="001B5617"/>
    <w:rsid w:val="001B76B1"/>
    <w:rsid w:val="001C1881"/>
    <w:rsid w:val="001C2055"/>
    <w:rsid w:val="001C23B7"/>
    <w:rsid w:val="001C6383"/>
    <w:rsid w:val="001D0622"/>
    <w:rsid w:val="001D0AE0"/>
    <w:rsid w:val="001D1D35"/>
    <w:rsid w:val="001D696F"/>
    <w:rsid w:val="001E445D"/>
    <w:rsid w:val="001E5621"/>
    <w:rsid w:val="001E6541"/>
    <w:rsid w:val="001E7F5F"/>
    <w:rsid w:val="001F12D7"/>
    <w:rsid w:val="001F3BC8"/>
    <w:rsid w:val="001F700C"/>
    <w:rsid w:val="0020058F"/>
    <w:rsid w:val="002006D7"/>
    <w:rsid w:val="00201960"/>
    <w:rsid w:val="00205B24"/>
    <w:rsid w:val="00211129"/>
    <w:rsid w:val="002178A3"/>
    <w:rsid w:val="00221ECC"/>
    <w:rsid w:val="00222336"/>
    <w:rsid w:val="00224D76"/>
    <w:rsid w:val="002267B6"/>
    <w:rsid w:val="00232CB0"/>
    <w:rsid w:val="0024630C"/>
    <w:rsid w:val="00246870"/>
    <w:rsid w:val="00246CA5"/>
    <w:rsid w:val="00252CB6"/>
    <w:rsid w:val="00255096"/>
    <w:rsid w:val="002552FB"/>
    <w:rsid w:val="00257D46"/>
    <w:rsid w:val="0026063C"/>
    <w:rsid w:val="00264037"/>
    <w:rsid w:val="00265808"/>
    <w:rsid w:val="00265CB5"/>
    <w:rsid w:val="0027445E"/>
    <w:rsid w:val="00283354"/>
    <w:rsid w:val="00283489"/>
    <w:rsid w:val="00291877"/>
    <w:rsid w:val="00294B31"/>
    <w:rsid w:val="002A2767"/>
    <w:rsid w:val="002A64CE"/>
    <w:rsid w:val="002B401D"/>
    <w:rsid w:val="002B5AB2"/>
    <w:rsid w:val="002C029F"/>
    <w:rsid w:val="002C0AE2"/>
    <w:rsid w:val="002C3D7A"/>
    <w:rsid w:val="002C42E1"/>
    <w:rsid w:val="002C6DE2"/>
    <w:rsid w:val="002C6EED"/>
    <w:rsid w:val="002C790D"/>
    <w:rsid w:val="002D00CC"/>
    <w:rsid w:val="002D2258"/>
    <w:rsid w:val="002D4F5D"/>
    <w:rsid w:val="002D734A"/>
    <w:rsid w:val="002E377C"/>
    <w:rsid w:val="002E3B0E"/>
    <w:rsid w:val="002E424B"/>
    <w:rsid w:val="002E579B"/>
    <w:rsid w:val="002E58C2"/>
    <w:rsid w:val="002E6700"/>
    <w:rsid w:val="002F152B"/>
    <w:rsid w:val="002F32FD"/>
    <w:rsid w:val="002F6C64"/>
    <w:rsid w:val="003065BC"/>
    <w:rsid w:val="00320316"/>
    <w:rsid w:val="00320C02"/>
    <w:rsid w:val="00320D9B"/>
    <w:rsid w:val="00323BFD"/>
    <w:rsid w:val="00324A89"/>
    <w:rsid w:val="00327391"/>
    <w:rsid w:val="00327EA7"/>
    <w:rsid w:val="00332B44"/>
    <w:rsid w:val="00335BD1"/>
    <w:rsid w:val="003376E3"/>
    <w:rsid w:val="00340A39"/>
    <w:rsid w:val="0034107B"/>
    <w:rsid w:val="00341396"/>
    <w:rsid w:val="003434F7"/>
    <w:rsid w:val="0034665D"/>
    <w:rsid w:val="0035139F"/>
    <w:rsid w:val="0035291A"/>
    <w:rsid w:val="00356D3F"/>
    <w:rsid w:val="003614D4"/>
    <w:rsid w:val="00362EE1"/>
    <w:rsid w:val="00363170"/>
    <w:rsid w:val="0036471C"/>
    <w:rsid w:val="00366B19"/>
    <w:rsid w:val="00366CE7"/>
    <w:rsid w:val="00377710"/>
    <w:rsid w:val="003812C7"/>
    <w:rsid w:val="003820AC"/>
    <w:rsid w:val="003879F6"/>
    <w:rsid w:val="00387FC4"/>
    <w:rsid w:val="003916B6"/>
    <w:rsid w:val="00391E18"/>
    <w:rsid w:val="003923B6"/>
    <w:rsid w:val="0039774B"/>
    <w:rsid w:val="003A4B12"/>
    <w:rsid w:val="003A549A"/>
    <w:rsid w:val="003A5E23"/>
    <w:rsid w:val="003A777F"/>
    <w:rsid w:val="003B06E2"/>
    <w:rsid w:val="003B14C8"/>
    <w:rsid w:val="003B3788"/>
    <w:rsid w:val="003B3DDF"/>
    <w:rsid w:val="003B484A"/>
    <w:rsid w:val="003B60EB"/>
    <w:rsid w:val="003C22C5"/>
    <w:rsid w:val="003C62A8"/>
    <w:rsid w:val="003C6C90"/>
    <w:rsid w:val="003D0F79"/>
    <w:rsid w:val="003D3127"/>
    <w:rsid w:val="003D47F2"/>
    <w:rsid w:val="003D5AFE"/>
    <w:rsid w:val="003E64D1"/>
    <w:rsid w:val="003E689B"/>
    <w:rsid w:val="003E7DC5"/>
    <w:rsid w:val="003F061A"/>
    <w:rsid w:val="003F0D8E"/>
    <w:rsid w:val="003F4FFF"/>
    <w:rsid w:val="00403B1B"/>
    <w:rsid w:val="00407440"/>
    <w:rsid w:val="004203B2"/>
    <w:rsid w:val="00420508"/>
    <w:rsid w:val="004248C9"/>
    <w:rsid w:val="00425EF0"/>
    <w:rsid w:val="00427C59"/>
    <w:rsid w:val="004303B3"/>
    <w:rsid w:val="004312B5"/>
    <w:rsid w:val="004317A1"/>
    <w:rsid w:val="00433B6D"/>
    <w:rsid w:val="00433F4D"/>
    <w:rsid w:val="004363E9"/>
    <w:rsid w:val="00437695"/>
    <w:rsid w:val="00443907"/>
    <w:rsid w:val="004460B7"/>
    <w:rsid w:val="00447D77"/>
    <w:rsid w:val="004531A2"/>
    <w:rsid w:val="00457F45"/>
    <w:rsid w:val="00460059"/>
    <w:rsid w:val="0046098C"/>
    <w:rsid w:val="00464AC4"/>
    <w:rsid w:val="00465710"/>
    <w:rsid w:val="00466926"/>
    <w:rsid w:val="00466BD2"/>
    <w:rsid w:val="00470B97"/>
    <w:rsid w:val="004748B6"/>
    <w:rsid w:val="00480295"/>
    <w:rsid w:val="00486FFB"/>
    <w:rsid w:val="00493AFB"/>
    <w:rsid w:val="0049681E"/>
    <w:rsid w:val="004A0F52"/>
    <w:rsid w:val="004A1235"/>
    <w:rsid w:val="004A13D5"/>
    <w:rsid w:val="004A1E95"/>
    <w:rsid w:val="004A7FE9"/>
    <w:rsid w:val="004B32E3"/>
    <w:rsid w:val="004B3727"/>
    <w:rsid w:val="004B52ED"/>
    <w:rsid w:val="004B64FC"/>
    <w:rsid w:val="004C28F8"/>
    <w:rsid w:val="004C3306"/>
    <w:rsid w:val="004C3AA7"/>
    <w:rsid w:val="004C58AB"/>
    <w:rsid w:val="004C6513"/>
    <w:rsid w:val="004D1657"/>
    <w:rsid w:val="004D2095"/>
    <w:rsid w:val="004D5FB8"/>
    <w:rsid w:val="004E14F3"/>
    <w:rsid w:val="004E25F7"/>
    <w:rsid w:val="004E3572"/>
    <w:rsid w:val="004E4107"/>
    <w:rsid w:val="004E7927"/>
    <w:rsid w:val="004F7B8D"/>
    <w:rsid w:val="005016DF"/>
    <w:rsid w:val="00502734"/>
    <w:rsid w:val="00507AC9"/>
    <w:rsid w:val="00516E0E"/>
    <w:rsid w:val="0051758C"/>
    <w:rsid w:val="00521575"/>
    <w:rsid w:val="00522E63"/>
    <w:rsid w:val="005303D4"/>
    <w:rsid w:val="005326BD"/>
    <w:rsid w:val="00533C27"/>
    <w:rsid w:val="00537F46"/>
    <w:rsid w:val="00540D1C"/>
    <w:rsid w:val="005438ED"/>
    <w:rsid w:val="0055059C"/>
    <w:rsid w:val="005546BC"/>
    <w:rsid w:val="0057378A"/>
    <w:rsid w:val="00582D8A"/>
    <w:rsid w:val="005830AB"/>
    <w:rsid w:val="00584B66"/>
    <w:rsid w:val="00584E20"/>
    <w:rsid w:val="00587BA9"/>
    <w:rsid w:val="00590774"/>
    <w:rsid w:val="00592186"/>
    <w:rsid w:val="005A34CB"/>
    <w:rsid w:val="005A4129"/>
    <w:rsid w:val="005A5A11"/>
    <w:rsid w:val="005A7982"/>
    <w:rsid w:val="005C6D06"/>
    <w:rsid w:val="005C7C58"/>
    <w:rsid w:val="005D5FC3"/>
    <w:rsid w:val="005D7B92"/>
    <w:rsid w:val="005E1D38"/>
    <w:rsid w:val="005E4A92"/>
    <w:rsid w:val="005E5B99"/>
    <w:rsid w:val="005E69DD"/>
    <w:rsid w:val="005E6A99"/>
    <w:rsid w:val="005E7622"/>
    <w:rsid w:val="005F0A93"/>
    <w:rsid w:val="005F274F"/>
    <w:rsid w:val="005F3FDA"/>
    <w:rsid w:val="005F680A"/>
    <w:rsid w:val="006006A6"/>
    <w:rsid w:val="00603CAC"/>
    <w:rsid w:val="00603D10"/>
    <w:rsid w:val="00605BE9"/>
    <w:rsid w:val="00607F3B"/>
    <w:rsid w:val="00610569"/>
    <w:rsid w:val="00611F3F"/>
    <w:rsid w:val="006126C4"/>
    <w:rsid w:val="00612781"/>
    <w:rsid w:val="00614562"/>
    <w:rsid w:val="0062122A"/>
    <w:rsid w:val="00624F92"/>
    <w:rsid w:val="00626568"/>
    <w:rsid w:val="006336A8"/>
    <w:rsid w:val="0064160A"/>
    <w:rsid w:val="00641FCC"/>
    <w:rsid w:val="0064245B"/>
    <w:rsid w:val="00643F10"/>
    <w:rsid w:val="00646C49"/>
    <w:rsid w:val="00653F74"/>
    <w:rsid w:val="00654DD6"/>
    <w:rsid w:val="00655D96"/>
    <w:rsid w:val="006571BC"/>
    <w:rsid w:val="006623C3"/>
    <w:rsid w:val="006676A2"/>
    <w:rsid w:val="006707B9"/>
    <w:rsid w:val="00673657"/>
    <w:rsid w:val="00673C1E"/>
    <w:rsid w:val="00680ABE"/>
    <w:rsid w:val="006810B4"/>
    <w:rsid w:val="00695072"/>
    <w:rsid w:val="00697913"/>
    <w:rsid w:val="006A27E9"/>
    <w:rsid w:val="006A6702"/>
    <w:rsid w:val="006A7DF7"/>
    <w:rsid w:val="006B3012"/>
    <w:rsid w:val="006B5A99"/>
    <w:rsid w:val="006B7200"/>
    <w:rsid w:val="006C0F0A"/>
    <w:rsid w:val="006C5485"/>
    <w:rsid w:val="006C6435"/>
    <w:rsid w:val="006C6806"/>
    <w:rsid w:val="006C7F63"/>
    <w:rsid w:val="006D148E"/>
    <w:rsid w:val="006D541C"/>
    <w:rsid w:val="006D7BC8"/>
    <w:rsid w:val="006F30D5"/>
    <w:rsid w:val="006F46EE"/>
    <w:rsid w:val="006F56BB"/>
    <w:rsid w:val="006F5E76"/>
    <w:rsid w:val="0070119A"/>
    <w:rsid w:val="00702AAF"/>
    <w:rsid w:val="00705CCA"/>
    <w:rsid w:val="00706BD0"/>
    <w:rsid w:val="00710F16"/>
    <w:rsid w:val="00711738"/>
    <w:rsid w:val="0071261A"/>
    <w:rsid w:val="00714721"/>
    <w:rsid w:val="00715DF8"/>
    <w:rsid w:val="007169BF"/>
    <w:rsid w:val="00716C5E"/>
    <w:rsid w:val="00720752"/>
    <w:rsid w:val="00723208"/>
    <w:rsid w:val="00724DA7"/>
    <w:rsid w:val="00727CE1"/>
    <w:rsid w:val="00733483"/>
    <w:rsid w:val="00740187"/>
    <w:rsid w:val="007429B4"/>
    <w:rsid w:val="00744CA2"/>
    <w:rsid w:val="00746A4A"/>
    <w:rsid w:val="007514DF"/>
    <w:rsid w:val="00762F5A"/>
    <w:rsid w:val="00765E47"/>
    <w:rsid w:val="00766A85"/>
    <w:rsid w:val="00772014"/>
    <w:rsid w:val="00774784"/>
    <w:rsid w:val="00774926"/>
    <w:rsid w:val="0077617B"/>
    <w:rsid w:val="00776B23"/>
    <w:rsid w:val="00777A40"/>
    <w:rsid w:val="00784CFF"/>
    <w:rsid w:val="00784F75"/>
    <w:rsid w:val="00786C67"/>
    <w:rsid w:val="00790E1B"/>
    <w:rsid w:val="0079299C"/>
    <w:rsid w:val="00794BFD"/>
    <w:rsid w:val="007A1D77"/>
    <w:rsid w:val="007A2CF9"/>
    <w:rsid w:val="007A5397"/>
    <w:rsid w:val="007A7470"/>
    <w:rsid w:val="007B06CB"/>
    <w:rsid w:val="007B3C75"/>
    <w:rsid w:val="007B7DB2"/>
    <w:rsid w:val="007C2924"/>
    <w:rsid w:val="007C5073"/>
    <w:rsid w:val="007C5CDC"/>
    <w:rsid w:val="007C7F93"/>
    <w:rsid w:val="007D0240"/>
    <w:rsid w:val="007D04FA"/>
    <w:rsid w:val="007D32EC"/>
    <w:rsid w:val="007D4908"/>
    <w:rsid w:val="007D573F"/>
    <w:rsid w:val="007E0868"/>
    <w:rsid w:val="007E2BD6"/>
    <w:rsid w:val="007E486C"/>
    <w:rsid w:val="007E53D5"/>
    <w:rsid w:val="007E5F3C"/>
    <w:rsid w:val="007E5FF6"/>
    <w:rsid w:val="007F2991"/>
    <w:rsid w:val="007F3E49"/>
    <w:rsid w:val="00801AC5"/>
    <w:rsid w:val="00807051"/>
    <w:rsid w:val="00815F56"/>
    <w:rsid w:val="008255C2"/>
    <w:rsid w:val="0083174C"/>
    <w:rsid w:val="008333A7"/>
    <w:rsid w:val="00842239"/>
    <w:rsid w:val="008429FE"/>
    <w:rsid w:val="00842FCD"/>
    <w:rsid w:val="008443CC"/>
    <w:rsid w:val="0084499F"/>
    <w:rsid w:val="008462EF"/>
    <w:rsid w:val="0084675F"/>
    <w:rsid w:val="00851C3A"/>
    <w:rsid w:val="00854261"/>
    <w:rsid w:val="0086069C"/>
    <w:rsid w:val="00861E6B"/>
    <w:rsid w:val="00862B4B"/>
    <w:rsid w:val="00863E41"/>
    <w:rsid w:val="008710DD"/>
    <w:rsid w:val="00871F6B"/>
    <w:rsid w:val="00872D06"/>
    <w:rsid w:val="00876164"/>
    <w:rsid w:val="0087637A"/>
    <w:rsid w:val="00881236"/>
    <w:rsid w:val="0088645D"/>
    <w:rsid w:val="008906CC"/>
    <w:rsid w:val="008954DC"/>
    <w:rsid w:val="008A0D39"/>
    <w:rsid w:val="008A3440"/>
    <w:rsid w:val="008B021F"/>
    <w:rsid w:val="008B6B40"/>
    <w:rsid w:val="008B75B6"/>
    <w:rsid w:val="008C46E2"/>
    <w:rsid w:val="008C7ED1"/>
    <w:rsid w:val="008D04ED"/>
    <w:rsid w:val="008D3366"/>
    <w:rsid w:val="008D37AC"/>
    <w:rsid w:val="008D3E24"/>
    <w:rsid w:val="008D76F8"/>
    <w:rsid w:val="008E153C"/>
    <w:rsid w:val="008E3551"/>
    <w:rsid w:val="008F0A2B"/>
    <w:rsid w:val="008F2C07"/>
    <w:rsid w:val="008F59A6"/>
    <w:rsid w:val="008F66EB"/>
    <w:rsid w:val="008F7A5C"/>
    <w:rsid w:val="00900066"/>
    <w:rsid w:val="00901C17"/>
    <w:rsid w:val="0092278C"/>
    <w:rsid w:val="009266AE"/>
    <w:rsid w:val="00926C4B"/>
    <w:rsid w:val="00933278"/>
    <w:rsid w:val="009339EE"/>
    <w:rsid w:val="009344CD"/>
    <w:rsid w:val="009412FB"/>
    <w:rsid w:val="00942F07"/>
    <w:rsid w:val="009467C7"/>
    <w:rsid w:val="00957292"/>
    <w:rsid w:val="00957559"/>
    <w:rsid w:val="00962063"/>
    <w:rsid w:val="0096267A"/>
    <w:rsid w:val="009674DB"/>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588C"/>
    <w:rsid w:val="009A3FDD"/>
    <w:rsid w:val="009B025B"/>
    <w:rsid w:val="009B3ABE"/>
    <w:rsid w:val="009B574C"/>
    <w:rsid w:val="009B5E43"/>
    <w:rsid w:val="009C6DD0"/>
    <w:rsid w:val="009D4113"/>
    <w:rsid w:val="009D4C6C"/>
    <w:rsid w:val="009D5442"/>
    <w:rsid w:val="009D5FEE"/>
    <w:rsid w:val="009D69D4"/>
    <w:rsid w:val="009D7A84"/>
    <w:rsid w:val="009E65CF"/>
    <w:rsid w:val="009E7B66"/>
    <w:rsid w:val="009F036F"/>
    <w:rsid w:val="009F7444"/>
    <w:rsid w:val="00A07414"/>
    <w:rsid w:val="00A11AE6"/>
    <w:rsid w:val="00A13344"/>
    <w:rsid w:val="00A13356"/>
    <w:rsid w:val="00A159BD"/>
    <w:rsid w:val="00A167F8"/>
    <w:rsid w:val="00A17EA4"/>
    <w:rsid w:val="00A23DB7"/>
    <w:rsid w:val="00A27036"/>
    <w:rsid w:val="00A32123"/>
    <w:rsid w:val="00A403F5"/>
    <w:rsid w:val="00A45F60"/>
    <w:rsid w:val="00A56802"/>
    <w:rsid w:val="00A568BA"/>
    <w:rsid w:val="00A579D0"/>
    <w:rsid w:val="00A60600"/>
    <w:rsid w:val="00A64439"/>
    <w:rsid w:val="00A6580A"/>
    <w:rsid w:val="00A65F51"/>
    <w:rsid w:val="00A760F0"/>
    <w:rsid w:val="00A82203"/>
    <w:rsid w:val="00A83D1B"/>
    <w:rsid w:val="00A840E8"/>
    <w:rsid w:val="00A87F84"/>
    <w:rsid w:val="00A9539D"/>
    <w:rsid w:val="00AA1B05"/>
    <w:rsid w:val="00AA1CF5"/>
    <w:rsid w:val="00AA2CAF"/>
    <w:rsid w:val="00AA31C1"/>
    <w:rsid w:val="00AA347C"/>
    <w:rsid w:val="00AA3B80"/>
    <w:rsid w:val="00AA5293"/>
    <w:rsid w:val="00AA72EF"/>
    <w:rsid w:val="00AA72F9"/>
    <w:rsid w:val="00AB28E8"/>
    <w:rsid w:val="00AB73E0"/>
    <w:rsid w:val="00AD1E59"/>
    <w:rsid w:val="00AD3FCA"/>
    <w:rsid w:val="00AD6653"/>
    <w:rsid w:val="00AD7E34"/>
    <w:rsid w:val="00AE1423"/>
    <w:rsid w:val="00AE361F"/>
    <w:rsid w:val="00AE3DDB"/>
    <w:rsid w:val="00AE479B"/>
    <w:rsid w:val="00AE71FE"/>
    <w:rsid w:val="00AF03AB"/>
    <w:rsid w:val="00AF3028"/>
    <w:rsid w:val="00AF6530"/>
    <w:rsid w:val="00AF7275"/>
    <w:rsid w:val="00B0078F"/>
    <w:rsid w:val="00B029C4"/>
    <w:rsid w:val="00B02B5F"/>
    <w:rsid w:val="00B04CE7"/>
    <w:rsid w:val="00B10E78"/>
    <w:rsid w:val="00B11DAD"/>
    <w:rsid w:val="00B1287B"/>
    <w:rsid w:val="00B169DA"/>
    <w:rsid w:val="00B17366"/>
    <w:rsid w:val="00B22B4E"/>
    <w:rsid w:val="00B271ED"/>
    <w:rsid w:val="00B2725F"/>
    <w:rsid w:val="00B32FA7"/>
    <w:rsid w:val="00B351DF"/>
    <w:rsid w:val="00B3616E"/>
    <w:rsid w:val="00B37F12"/>
    <w:rsid w:val="00B42F1F"/>
    <w:rsid w:val="00B45805"/>
    <w:rsid w:val="00B529C2"/>
    <w:rsid w:val="00B54DAF"/>
    <w:rsid w:val="00B55644"/>
    <w:rsid w:val="00B572E7"/>
    <w:rsid w:val="00B610FC"/>
    <w:rsid w:val="00B62809"/>
    <w:rsid w:val="00B679AC"/>
    <w:rsid w:val="00B70357"/>
    <w:rsid w:val="00B70DED"/>
    <w:rsid w:val="00B727F2"/>
    <w:rsid w:val="00B732BF"/>
    <w:rsid w:val="00B81372"/>
    <w:rsid w:val="00B83042"/>
    <w:rsid w:val="00B844B1"/>
    <w:rsid w:val="00B84869"/>
    <w:rsid w:val="00B84CA9"/>
    <w:rsid w:val="00B85770"/>
    <w:rsid w:val="00B87FD7"/>
    <w:rsid w:val="00B93D80"/>
    <w:rsid w:val="00B95502"/>
    <w:rsid w:val="00BA69C4"/>
    <w:rsid w:val="00BB09EF"/>
    <w:rsid w:val="00BC054E"/>
    <w:rsid w:val="00BC4B83"/>
    <w:rsid w:val="00BD0B1E"/>
    <w:rsid w:val="00BE1E30"/>
    <w:rsid w:val="00BE464A"/>
    <w:rsid w:val="00BE58DB"/>
    <w:rsid w:val="00BF4023"/>
    <w:rsid w:val="00BF74A0"/>
    <w:rsid w:val="00C00087"/>
    <w:rsid w:val="00C000EB"/>
    <w:rsid w:val="00C00817"/>
    <w:rsid w:val="00C03DCF"/>
    <w:rsid w:val="00C068D7"/>
    <w:rsid w:val="00C07E64"/>
    <w:rsid w:val="00C130BF"/>
    <w:rsid w:val="00C1513D"/>
    <w:rsid w:val="00C16B7E"/>
    <w:rsid w:val="00C21F5D"/>
    <w:rsid w:val="00C25AAD"/>
    <w:rsid w:val="00C275FE"/>
    <w:rsid w:val="00C33F2A"/>
    <w:rsid w:val="00C34432"/>
    <w:rsid w:val="00C34867"/>
    <w:rsid w:val="00C35656"/>
    <w:rsid w:val="00C35B1E"/>
    <w:rsid w:val="00C37D32"/>
    <w:rsid w:val="00C42526"/>
    <w:rsid w:val="00C42582"/>
    <w:rsid w:val="00C429A4"/>
    <w:rsid w:val="00C4484F"/>
    <w:rsid w:val="00C44E7D"/>
    <w:rsid w:val="00C45D56"/>
    <w:rsid w:val="00C549BD"/>
    <w:rsid w:val="00C606F6"/>
    <w:rsid w:val="00C63899"/>
    <w:rsid w:val="00C66927"/>
    <w:rsid w:val="00C70088"/>
    <w:rsid w:val="00C7036C"/>
    <w:rsid w:val="00C70F17"/>
    <w:rsid w:val="00C83300"/>
    <w:rsid w:val="00C87172"/>
    <w:rsid w:val="00C93321"/>
    <w:rsid w:val="00C96584"/>
    <w:rsid w:val="00CA209D"/>
    <w:rsid w:val="00CA65AD"/>
    <w:rsid w:val="00CA7563"/>
    <w:rsid w:val="00CB2348"/>
    <w:rsid w:val="00CB3F71"/>
    <w:rsid w:val="00CC05AF"/>
    <w:rsid w:val="00CC0B75"/>
    <w:rsid w:val="00CC0BD6"/>
    <w:rsid w:val="00CD1740"/>
    <w:rsid w:val="00CD5E26"/>
    <w:rsid w:val="00CD7ABA"/>
    <w:rsid w:val="00CE2DD4"/>
    <w:rsid w:val="00CE3B96"/>
    <w:rsid w:val="00CE473F"/>
    <w:rsid w:val="00CE5A58"/>
    <w:rsid w:val="00CF4B7F"/>
    <w:rsid w:val="00CF55E9"/>
    <w:rsid w:val="00CF6154"/>
    <w:rsid w:val="00D023DE"/>
    <w:rsid w:val="00D02C65"/>
    <w:rsid w:val="00D0366F"/>
    <w:rsid w:val="00D1002A"/>
    <w:rsid w:val="00D11556"/>
    <w:rsid w:val="00D11EC4"/>
    <w:rsid w:val="00D133F6"/>
    <w:rsid w:val="00D15202"/>
    <w:rsid w:val="00D17351"/>
    <w:rsid w:val="00D21605"/>
    <w:rsid w:val="00D248BF"/>
    <w:rsid w:val="00D24F39"/>
    <w:rsid w:val="00D25559"/>
    <w:rsid w:val="00D33642"/>
    <w:rsid w:val="00D34BD9"/>
    <w:rsid w:val="00D35A75"/>
    <w:rsid w:val="00D4719D"/>
    <w:rsid w:val="00D54463"/>
    <w:rsid w:val="00D55F0A"/>
    <w:rsid w:val="00D61B31"/>
    <w:rsid w:val="00D66692"/>
    <w:rsid w:val="00D7044B"/>
    <w:rsid w:val="00D7095A"/>
    <w:rsid w:val="00D727D9"/>
    <w:rsid w:val="00D73AC1"/>
    <w:rsid w:val="00D76E4D"/>
    <w:rsid w:val="00D823E9"/>
    <w:rsid w:val="00D856EA"/>
    <w:rsid w:val="00D960DC"/>
    <w:rsid w:val="00DA0572"/>
    <w:rsid w:val="00DA25FE"/>
    <w:rsid w:val="00DA58D5"/>
    <w:rsid w:val="00DB0E2A"/>
    <w:rsid w:val="00DB2C0F"/>
    <w:rsid w:val="00DB32A8"/>
    <w:rsid w:val="00DB3AB7"/>
    <w:rsid w:val="00DB3F43"/>
    <w:rsid w:val="00DB50C7"/>
    <w:rsid w:val="00DB56F3"/>
    <w:rsid w:val="00DC3D3B"/>
    <w:rsid w:val="00DC494A"/>
    <w:rsid w:val="00DC597F"/>
    <w:rsid w:val="00DC6FB4"/>
    <w:rsid w:val="00DD4734"/>
    <w:rsid w:val="00DD6100"/>
    <w:rsid w:val="00DE1630"/>
    <w:rsid w:val="00DE17DE"/>
    <w:rsid w:val="00DE3BB7"/>
    <w:rsid w:val="00DE503C"/>
    <w:rsid w:val="00DE5D5A"/>
    <w:rsid w:val="00DF2BA8"/>
    <w:rsid w:val="00DF498E"/>
    <w:rsid w:val="00DF4C87"/>
    <w:rsid w:val="00E007ED"/>
    <w:rsid w:val="00E01B96"/>
    <w:rsid w:val="00E02B33"/>
    <w:rsid w:val="00E0310B"/>
    <w:rsid w:val="00E0474D"/>
    <w:rsid w:val="00E10028"/>
    <w:rsid w:val="00E12C52"/>
    <w:rsid w:val="00E21367"/>
    <w:rsid w:val="00E242A1"/>
    <w:rsid w:val="00E24A8A"/>
    <w:rsid w:val="00E2764D"/>
    <w:rsid w:val="00E307AB"/>
    <w:rsid w:val="00E30E43"/>
    <w:rsid w:val="00E35F72"/>
    <w:rsid w:val="00E43F04"/>
    <w:rsid w:val="00E4451C"/>
    <w:rsid w:val="00E44B71"/>
    <w:rsid w:val="00E451BD"/>
    <w:rsid w:val="00E52E5F"/>
    <w:rsid w:val="00E53800"/>
    <w:rsid w:val="00E70D9B"/>
    <w:rsid w:val="00E725E0"/>
    <w:rsid w:val="00E744E6"/>
    <w:rsid w:val="00E745B1"/>
    <w:rsid w:val="00E75993"/>
    <w:rsid w:val="00E80502"/>
    <w:rsid w:val="00E80EC3"/>
    <w:rsid w:val="00E86277"/>
    <w:rsid w:val="00E86F2A"/>
    <w:rsid w:val="00E90089"/>
    <w:rsid w:val="00E921A9"/>
    <w:rsid w:val="00E943BA"/>
    <w:rsid w:val="00EA4CBC"/>
    <w:rsid w:val="00EB107E"/>
    <w:rsid w:val="00EB2F59"/>
    <w:rsid w:val="00EB602A"/>
    <w:rsid w:val="00EC119A"/>
    <w:rsid w:val="00EC3D12"/>
    <w:rsid w:val="00EC5B1D"/>
    <w:rsid w:val="00ED0EF6"/>
    <w:rsid w:val="00ED23CC"/>
    <w:rsid w:val="00ED2D90"/>
    <w:rsid w:val="00ED39B2"/>
    <w:rsid w:val="00EE1961"/>
    <w:rsid w:val="00EE3C9D"/>
    <w:rsid w:val="00EF08B8"/>
    <w:rsid w:val="00EF1AF8"/>
    <w:rsid w:val="00EF4058"/>
    <w:rsid w:val="00EF55B8"/>
    <w:rsid w:val="00EF7DA6"/>
    <w:rsid w:val="00F02B86"/>
    <w:rsid w:val="00F049BB"/>
    <w:rsid w:val="00F07591"/>
    <w:rsid w:val="00F14080"/>
    <w:rsid w:val="00F16965"/>
    <w:rsid w:val="00F204F7"/>
    <w:rsid w:val="00F238AA"/>
    <w:rsid w:val="00F31137"/>
    <w:rsid w:val="00F34CB4"/>
    <w:rsid w:val="00F34D37"/>
    <w:rsid w:val="00F35445"/>
    <w:rsid w:val="00F3663D"/>
    <w:rsid w:val="00F4258D"/>
    <w:rsid w:val="00F54FDD"/>
    <w:rsid w:val="00F56D91"/>
    <w:rsid w:val="00F62388"/>
    <w:rsid w:val="00F650DF"/>
    <w:rsid w:val="00F67E42"/>
    <w:rsid w:val="00F71201"/>
    <w:rsid w:val="00F74BD1"/>
    <w:rsid w:val="00F766B1"/>
    <w:rsid w:val="00F817DF"/>
    <w:rsid w:val="00F82E15"/>
    <w:rsid w:val="00F858B5"/>
    <w:rsid w:val="00F85F6F"/>
    <w:rsid w:val="00F9127E"/>
    <w:rsid w:val="00F91960"/>
    <w:rsid w:val="00F94BFC"/>
    <w:rsid w:val="00F94F74"/>
    <w:rsid w:val="00F97625"/>
    <w:rsid w:val="00FA7A11"/>
    <w:rsid w:val="00FB155E"/>
    <w:rsid w:val="00FB3DF4"/>
    <w:rsid w:val="00FB42B8"/>
    <w:rsid w:val="00FB4982"/>
    <w:rsid w:val="00FC12BC"/>
    <w:rsid w:val="00FC39A2"/>
    <w:rsid w:val="00FD3842"/>
    <w:rsid w:val="00FD6EEB"/>
    <w:rsid w:val="00FE1F1B"/>
    <w:rsid w:val="00FE452D"/>
    <w:rsid w:val="00FE4AD7"/>
    <w:rsid w:val="00FE7844"/>
    <w:rsid w:val="00FF308F"/>
    <w:rsid w:val="00FF36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3A00"/>
  <w15:docId w15:val="{95D62209-3894-4DD7-9C82-C36A773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3"/>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3"/>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3"/>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3"/>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34"/>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3"/>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A0572"/>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1380791">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ighbourhoodplanning@bassetlaw.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234B06-D9DF-4B9D-BC51-AC80D27B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854</Words>
  <Characters>4583</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Sutton cum Lound Neighbourhood Plan (Review) - Decision Statement (Adoption)</vt:lpstr>
    </vt:vector>
  </TitlesOfParts>
  <Company>ELKESLEY PARISH COUNCIL</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cum Lound Neighbourhood Plan (Review) - Decision Statement (Adoption)</dc:title>
  <dc:subject>ELKESLEY NEIGHBOURHOOD DEVELOPMENT PLAN</dc:subject>
  <dc:creator>Bassetlaw District Council</dc:creator>
  <cp:keywords>Sutton cum Lound Neighbourhood Plan Review Adoption</cp:keywords>
  <cp:lastModifiedBy>Aniruddha Kamerkar</cp:lastModifiedBy>
  <cp:revision>17</cp:revision>
  <cp:lastPrinted>2018-02-19T12:46:00Z</cp:lastPrinted>
  <dcterms:created xsi:type="dcterms:W3CDTF">2025-11-14T09:07:00Z</dcterms:created>
  <dcterms:modified xsi:type="dcterms:W3CDTF">2026-05-26T11:16:00Z</dcterms:modified>
</cp:coreProperties>
</file>