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6F" w:rsidRPr="001A3C3B" w:rsidRDefault="006E5E6F" w:rsidP="006E5E6F">
      <w:pPr>
        <w:jc w:val="center"/>
        <w:rPr>
          <w:rFonts w:ascii="Arial" w:hAnsi="Arial" w:cs="Arial"/>
          <w:b/>
          <w:sz w:val="24"/>
          <w:szCs w:val="24"/>
        </w:rPr>
      </w:pPr>
      <w:r w:rsidRPr="001A3C3B">
        <w:rPr>
          <w:rFonts w:ascii="Arial" w:hAnsi="Arial" w:cs="Arial"/>
          <w:b/>
          <w:sz w:val="24"/>
          <w:szCs w:val="24"/>
        </w:rPr>
        <w:t xml:space="preserve">Bassetlaw District Council response to </w:t>
      </w:r>
      <w:r>
        <w:rPr>
          <w:rFonts w:ascii="Arial" w:hAnsi="Arial" w:cs="Arial"/>
          <w:b/>
          <w:sz w:val="24"/>
          <w:szCs w:val="24"/>
        </w:rPr>
        <w:t>Examiner’</w:t>
      </w:r>
      <w:r w:rsidRPr="001A3C3B">
        <w:rPr>
          <w:rFonts w:ascii="Arial" w:hAnsi="Arial" w:cs="Arial"/>
          <w:b/>
          <w:sz w:val="24"/>
          <w:szCs w:val="24"/>
        </w:rPr>
        <w:t>s Action List</w:t>
      </w:r>
    </w:p>
    <w:p w:rsidR="006E5E6F" w:rsidRPr="0044333B" w:rsidRDefault="006E5E6F" w:rsidP="006E5E6F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Action </w:t>
      </w:r>
      <w:r>
        <w:rPr>
          <w:rFonts w:ascii="Arial" w:hAnsi="Arial" w:cs="Arial"/>
          <w:b/>
          <w:sz w:val="24"/>
          <w:szCs w:val="24"/>
        </w:rPr>
        <w:t>8</w:t>
      </w:r>
    </w:p>
    <w:p w:rsidR="006E5E6F" w:rsidRPr="006E5E6F" w:rsidRDefault="006E5E6F" w:rsidP="006E5E6F">
      <w:pPr>
        <w:jc w:val="both"/>
        <w:rPr>
          <w:rFonts w:ascii="Arial" w:hAnsi="Arial" w:cs="Arial"/>
        </w:rPr>
      </w:pPr>
      <w:r w:rsidRPr="006E5E6F">
        <w:rPr>
          <w:rFonts w:ascii="Arial" w:hAnsi="Arial" w:cs="Arial"/>
        </w:rPr>
        <w:t xml:space="preserve">We believe </w:t>
      </w:r>
      <w:r w:rsidRPr="006E5E6F">
        <w:rPr>
          <w:rFonts w:ascii="Arial" w:hAnsi="Arial" w:cs="Arial"/>
        </w:rPr>
        <w:t xml:space="preserve">the following </w:t>
      </w:r>
      <w:r w:rsidRPr="006E5E6F">
        <w:rPr>
          <w:rFonts w:ascii="Arial" w:hAnsi="Arial" w:cs="Arial"/>
        </w:rPr>
        <w:t>is the BCIS build cost extract for supermarket buildings referred to by Cushman Wakefield</w:t>
      </w:r>
      <w:r>
        <w:rPr>
          <w:rFonts w:ascii="Arial" w:hAnsi="Arial" w:cs="Arial"/>
        </w:rPr>
        <w:t>.</w:t>
      </w:r>
    </w:p>
    <w:p w:rsidR="006E5E6F" w:rsidRPr="008B1812" w:rsidRDefault="006E5E6F" w:rsidP="006E5E6F">
      <w:pPr>
        <w:rPr>
          <w:u w:val="single"/>
        </w:rPr>
      </w:pPr>
      <w:r w:rsidRPr="00B63A3C">
        <w:rPr>
          <w:noProof/>
          <w:u w:val="single"/>
          <w:lang w:eastAsia="en-GB"/>
        </w:rPr>
        <w:drawing>
          <wp:inline distT="0" distB="0" distL="0" distR="0" wp14:anchorId="34A2B3B3" wp14:editId="60D4B6A3">
            <wp:extent cx="5731510" cy="5932805"/>
            <wp:effectExtent l="0" t="0" r="2540" b="0"/>
            <wp:docPr id="419071222" name="Picture 1" descr="A screenshot of a surv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071222" name="Picture 1" descr="A screenshot of a survey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3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E6F" w:rsidRDefault="006E5E6F" w:rsidP="006E5E6F">
      <w:pPr>
        <w:pStyle w:val="ListParagraph"/>
        <w:ind w:left="-142"/>
      </w:pPr>
    </w:p>
    <w:p w:rsidR="006E5E6F" w:rsidRPr="006E5E6F" w:rsidRDefault="006E5E6F" w:rsidP="006E5E6F">
      <w:pPr>
        <w:pStyle w:val="ListParagraph"/>
        <w:ind w:left="-142"/>
        <w:jc w:val="both"/>
        <w:rPr>
          <w:rFonts w:ascii="Arial" w:hAnsi="Arial" w:cs="Arial"/>
        </w:rPr>
      </w:pPr>
      <w:r w:rsidRPr="006E5E6F">
        <w:rPr>
          <w:rFonts w:ascii="Arial" w:hAnsi="Arial" w:cs="Arial"/>
        </w:rPr>
        <w:t xml:space="preserve">The quoted figure of £1739sqm relates to supermarket buildings of unknown specification and complexity. </w:t>
      </w:r>
    </w:p>
    <w:p w:rsidR="006E5E6F" w:rsidRPr="006E5E6F" w:rsidRDefault="006E5E6F" w:rsidP="006E5E6F">
      <w:pPr>
        <w:pStyle w:val="ListParagraph"/>
        <w:ind w:left="-142"/>
        <w:jc w:val="both"/>
        <w:rPr>
          <w:rFonts w:ascii="Arial" w:hAnsi="Arial" w:cs="Arial"/>
        </w:rPr>
      </w:pPr>
    </w:p>
    <w:p w:rsidR="006E5E6F" w:rsidRPr="006E5E6F" w:rsidRDefault="006E5E6F" w:rsidP="006E5E6F">
      <w:pPr>
        <w:pStyle w:val="ListParagraph"/>
        <w:ind w:left="-142"/>
        <w:jc w:val="both"/>
        <w:rPr>
          <w:rFonts w:ascii="Arial" w:hAnsi="Arial" w:cs="Arial"/>
        </w:rPr>
      </w:pPr>
      <w:r w:rsidRPr="006E5E6F">
        <w:rPr>
          <w:rFonts w:ascii="Arial" w:hAnsi="Arial" w:cs="Arial"/>
        </w:rPr>
        <w:t xml:space="preserve">As discussed at the examination </w:t>
      </w:r>
      <w:r>
        <w:rPr>
          <w:rFonts w:ascii="Arial" w:hAnsi="Arial" w:cs="Arial"/>
        </w:rPr>
        <w:t xml:space="preserve">our consultants </w:t>
      </w:r>
      <w:r w:rsidRPr="006E5E6F">
        <w:rPr>
          <w:rFonts w:ascii="Arial" w:hAnsi="Arial" w:cs="Arial"/>
        </w:rPr>
        <w:t xml:space="preserve">base the costs and values in </w:t>
      </w:r>
      <w:r>
        <w:rPr>
          <w:rFonts w:ascii="Arial" w:hAnsi="Arial" w:cs="Arial"/>
        </w:rPr>
        <w:t>their</w:t>
      </w:r>
      <w:r w:rsidRPr="006E5E6F">
        <w:rPr>
          <w:rFonts w:ascii="Arial" w:hAnsi="Arial" w:cs="Arial"/>
        </w:rPr>
        <w:t xml:space="preserve"> appraisals on developer provided shell buildings for lease and fit out by retail operators.  We note the shell build cost for supermarkets in the above BCIS table is £998sqm.  We therefore remain of the view that the £1250sqm figure provided by </w:t>
      </w:r>
      <w:proofErr w:type="spellStart"/>
      <w:r w:rsidRPr="006E5E6F">
        <w:rPr>
          <w:rFonts w:ascii="Arial" w:hAnsi="Arial" w:cs="Arial"/>
        </w:rPr>
        <w:t>Gleeds</w:t>
      </w:r>
      <w:proofErr w:type="spellEnd"/>
      <w:r w:rsidRPr="006E5E6F">
        <w:rPr>
          <w:rFonts w:ascii="Arial" w:hAnsi="Arial" w:cs="Arial"/>
        </w:rPr>
        <w:t xml:space="preserve"> (which includes the standard additional allowance for external works) remains robust.</w:t>
      </w:r>
    </w:p>
    <w:p w:rsidR="006E5E6F" w:rsidRDefault="006E5E6F" w:rsidP="006E5E6F">
      <w:pPr>
        <w:pStyle w:val="ListParagraph"/>
        <w:ind w:left="-142"/>
      </w:pPr>
      <w:bookmarkStart w:id="0" w:name="_GoBack"/>
      <w:bookmarkEnd w:id="0"/>
    </w:p>
    <w:sectPr w:rsidR="006E5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24B8C"/>
    <w:multiLevelType w:val="hybridMultilevel"/>
    <w:tmpl w:val="B49EB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6F"/>
    <w:rsid w:val="006D0074"/>
    <w:rsid w:val="006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B4EA4"/>
  <w15:chartTrackingRefBased/>
  <w15:docId w15:val="{14BBE8BB-BCB2-4624-84E8-470F4C9B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E6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E5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Bassetlaw District Council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Johnson</dc:creator>
  <cp:keywords/>
  <dc:description/>
  <cp:lastModifiedBy>Karen Johnson</cp:lastModifiedBy>
  <cp:revision>1</cp:revision>
  <dcterms:created xsi:type="dcterms:W3CDTF">2023-09-12T11:57:00Z</dcterms:created>
  <dcterms:modified xsi:type="dcterms:W3CDTF">2023-09-12T11:59:00Z</dcterms:modified>
</cp:coreProperties>
</file>