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154" w:rsidRPr="001A3C3B" w:rsidRDefault="00ED7154" w:rsidP="00ED7154">
      <w:pPr>
        <w:jc w:val="center"/>
        <w:rPr>
          <w:rFonts w:ascii="Arial" w:hAnsi="Arial" w:cs="Arial"/>
          <w:b/>
          <w:sz w:val="24"/>
          <w:szCs w:val="24"/>
        </w:rPr>
      </w:pPr>
      <w:r w:rsidRPr="001A3C3B">
        <w:rPr>
          <w:rFonts w:ascii="Arial" w:hAnsi="Arial" w:cs="Arial"/>
          <w:b/>
          <w:sz w:val="24"/>
          <w:szCs w:val="24"/>
        </w:rPr>
        <w:t xml:space="preserve">Bassetlaw District Council response to </w:t>
      </w:r>
      <w:r>
        <w:rPr>
          <w:rFonts w:ascii="Arial" w:hAnsi="Arial" w:cs="Arial"/>
          <w:b/>
          <w:sz w:val="24"/>
          <w:szCs w:val="24"/>
        </w:rPr>
        <w:t>Examiner’</w:t>
      </w:r>
      <w:r w:rsidRPr="001A3C3B">
        <w:rPr>
          <w:rFonts w:ascii="Arial" w:hAnsi="Arial" w:cs="Arial"/>
          <w:b/>
          <w:sz w:val="24"/>
          <w:szCs w:val="24"/>
        </w:rPr>
        <w:t>s Action List</w:t>
      </w:r>
    </w:p>
    <w:p w:rsidR="00ED7154" w:rsidRPr="0044333B" w:rsidRDefault="00ED7154" w:rsidP="00ED7154">
      <w:pPr>
        <w:jc w:val="center"/>
        <w:rPr>
          <w:rFonts w:ascii="Arial" w:eastAsia="Calibri" w:hAnsi="Arial" w:cs="Arial"/>
          <w:b/>
          <w:sz w:val="24"/>
          <w:szCs w:val="24"/>
        </w:rPr>
      </w:pPr>
      <w:r>
        <w:rPr>
          <w:rFonts w:ascii="Arial" w:hAnsi="Arial" w:cs="Arial"/>
          <w:b/>
          <w:sz w:val="24"/>
          <w:szCs w:val="24"/>
        </w:rPr>
        <w:t xml:space="preserve">Action </w:t>
      </w:r>
      <w:r>
        <w:rPr>
          <w:rFonts w:ascii="Arial" w:hAnsi="Arial" w:cs="Arial"/>
          <w:b/>
          <w:sz w:val="24"/>
          <w:szCs w:val="24"/>
        </w:rPr>
        <w:t>6</w:t>
      </w:r>
    </w:p>
    <w:p w:rsidR="00ED7154" w:rsidRDefault="00ED7154" w:rsidP="00ED7154">
      <w:pPr>
        <w:pStyle w:val="ListParagraph"/>
        <w:ind w:left="142"/>
        <w:rPr>
          <w:u w:val="single"/>
        </w:rPr>
      </w:pPr>
    </w:p>
    <w:p w:rsidR="00ED7154" w:rsidRPr="001947E5" w:rsidRDefault="00ED7154" w:rsidP="001947E5">
      <w:pPr>
        <w:jc w:val="both"/>
        <w:rPr>
          <w:rFonts w:ascii="Arial" w:hAnsi="Arial" w:cs="Arial"/>
          <w:b/>
        </w:rPr>
      </w:pPr>
      <w:r w:rsidRPr="001947E5">
        <w:rPr>
          <w:rFonts w:ascii="Arial" w:hAnsi="Arial" w:cs="Arial"/>
          <w:b/>
        </w:rPr>
        <w:t>Finance Cost Calculation</w:t>
      </w:r>
    </w:p>
    <w:p w:rsidR="00ED7154" w:rsidRPr="001947E5" w:rsidRDefault="00ED7154" w:rsidP="001947E5">
      <w:pPr>
        <w:jc w:val="both"/>
        <w:rPr>
          <w:rFonts w:ascii="Arial" w:hAnsi="Arial" w:cs="Arial"/>
        </w:rPr>
      </w:pPr>
      <w:r w:rsidRPr="001947E5">
        <w:rPr>
          <w:rFonts w:ascii="Arial" w:hAnsi="Arial" w:cs="Arial"/>
        </w:rPr>
        <w:t xml:space="preserve">The following formula </w:t>
      </w:r>
      <w:proofErr w:type="gramStart"/>
      <w:r w:rsidRPr="001947E5">
        <w:rPr>
          <w:rFonts w:ascii="Arial" w:hAnsi="Arial" w:cs="Arial"/>
        </w:rPr>
        <w:t>is adopted</w:t>
      </w:r>
      <w:proofErr w:type="gramEnd"/>
      <w:r w:rsidRPr="001947E5">
        <w:rPr>
          <w:rFonts w:ascii="Arial" w:hAnsi="Arial" w:cs="Arial"/>
        </w:rPr>
        <w:t xml:space="preserve"> in the appraisal model:-</w:t>
      </w:r>
    </w:p>
    <w:p w:rsidR="00ED7154" w:rsidRPr="001947E5" w:rsidRDefault="00ED7154" w:rsidP="001947E5">
      <w:pPr>
        <w:widowControl w:val="0"/>
        <w:tabs>
          <w:tab w:val="left" w:pos="1604"/>
        </w:tabs>
        <w:autoSpaceDE w:val="0"/>
        <w:autoSpaceDN w:val="0"/>
        <w:spacing w:after="0" w:line="271" w:lineRule="auto"/>
        <w:ind w:right="120"/>
        <w:jc w:val="both"/>
        <w:rPr>
          <w:rFonts w:ascii="Arial" w:hAnsi="Arial" w:cs="Arial"/>
          <w:color w:val="000000" w:themeColor="text1"/>
        </w:rPr>
      </w:pPr>
      <w:r w:rsidRPr="001947E5">
        <w:rPr>
          <w:rFonts w:ascii="Arial" w:hAnsi="Arial" w:cs="Arial"/>
          <w:color w:val="000000" w:themeColor="text1"/>
        </w:rPr>
        <w:t>=(((SUM(Q29:Q41)*POWER((1+L63/12),((M6</w:t>
      </w:r>
      <w:r w:rsidR="001947E5">
        <w:rPr>
          <w:rFonts w:ascii="Arial" w:hAnsi="Arial" w:cs="Arial"/>
          <w:color w:val="000000" w:themeColor="text1"/>
        </w:rPr>
        <w:t>3+O63)/12)*12))-SUM(Q29:Q41))</w:t>
      </w:r>
      <w:r w:rsidRPr="001947E5">
        <w:rPr>
          <w:rFonts w:ascii="Arial" w:hAnsi="Arial" w:cs="Arial"/>
          <w:color w:val="000000" w:themeColor="text1"/>
        </w:rPr>
        <w:t>+     ((((SUM(Q43:Q62)*POWER((1+L63/12),((M63+O63)/12)*12))-SUM(Q43:Q62))*0.5)))</w:t>
      </w:r>
    </w:p>
    <w:p w:rsidR="00ED7154" w:rsidRPr="001947E5" w:rsidRDefault="00ED7154" w:rsidP="001947E5">
      <w:pPr>
        <w:widowControl w:val="0"/>
        <w:tabs>
          <w:tab w:val="left" w:pos="1604"/>
        </w:tabs>
        <w:autoSpaceDE w:val="0"/>
        <w:autoSpaceDN w:val="0"/>
        <w:spacing w:after="0" w:line="271" w:lineRule="auto"/>
        <w:ind w:right="120"/>
        <w:jc w:val="both"/>
        <w:rPr>
          <w:rFonts w:ascii="Arial" w:hAnsi="Arial" w:cs="Arial"/>
          <w:color w:val="000000" w:themeColor="text1"/>
        </w:rPr>
      </w:pPr>
    </w:p>
    <w:p w:rsidR="00ED7154" w:rsidRPr="001947E5" w:rsidRDefault="00ED7154" w:rsidP="001947E5">
      <w:pPr>
        <w:widowControl w:val="0"/>
        <w:tabs>
          <w:tab w:val="left" w:pos="1604"/>
        </w:tabs>
        <w:autoSpaceDE w:val="0"/>
        <w:autoSpaceDN w:val="0"/>
        <w:spacing w:after="0" w:line="271" w:lineRule="auto"/>
        <w:ind w:right="120"/>
        <w:jc w:val="both"/>
        <w:rPr>
          <w:rFonts w:ascii="Arial" w:hAnsi="Arial" w:cs="Arial"/>
          <w:color w:val="000000" w:themeColor="text1"/>
        </w:rPr>
      </w:pPr>
      <w:r w:rsidRPr="001947E5">
        <w:rPr>
          <w:rFonts w:ascii="Arial" w:hAnsi="Arial" w:cs="Arial"/>
          <w:color w:val="000000" w:themeColor="text1"/>
        </w:rPr>
        <w:t xml:space="preserve">This calculates compounded interest charges incurred over the development period. The formula separates out the cost of carrying the land purchase for the whole period and calculates separate interest costs for build costs and </w:t>
      </w:r>
      <w:proofErr w:type="gramStart"/>
      <w:r w:rsidRPr="001947E5">
        <w:rPr>
          <w:rFonts w:ascii="Arial" w:hAnsi="Arial" w:cs="Arial"/>
          <w:color w:val="000000" w:themeColor="text1"/>
        </w:rPr>
        <w:t>fees which</w:t>
      </w:r>
      <w:proofErr w:type="gramEnd"/>
      <w:r w:rsidRPr="001947E5">
        <w:rPr>
          <w:rFonts w:ascii="Arial" w:hAnsi="Arial" w:cs="Arial"/>
          <w:color w:val="000000" w:themeColor="text1"/>
        </w:rPr>
        <w:t xml:space="preserve"> gradually increase over the construction period.  In our </w:t>
      </w:r>
      <w:proofErr w:type="gramStart"/>
      <w:r w:rsidRPr="001947E5">
        <w:rPr>
          <w:rFonts w:ascii="Arial" w:hAnsi="Arial" w:cs="Arial"/>
          <w:color w:val="000000" w:themeColor="text1"/>
        </w:rPr>
        <w:t>consultants</w:t>
      </w:r>
      <w:proofErr w:type="gramEnd"/>
      <w:r w:rsidRPr="001947E5">
        <w:rPr>
          <w:rFonts w:ascii="Arial" w:hAnsi="Arial" w:cs="Arial"/>
          <w:color w:val="000000" w:themeColor="text1"/>
        </w:rPr>
        <w:t xml:space="preserve"> </w:t>
      </w:r>
      <w:r w:rsidRPr="001947E5">
        <w:rPr>
          <w:rFonts w:ascii="Arial" w:hAnsi="Arial" w:cs="Arial"/>
          <w:color w:val="000000" w:themeColor="text1"/>
        </w:rPr>
        <w:t xml:space="preserve">experience, this produces an overall finance charge that is reflective of the figure produced by detailed </w:t>
      </w:r>
      <w:proofErr w:type="spellStart"/>
      <w:r w:rsidRPr="001947E5">
        <w:rPr>
          <w:rFonts w:ascii="Arial" w:hAnsi="Arial" w:cs="Arial"/>
          <w:color w:val="000000" w:themeColor="text1"/>
        </w:rPr>
        <w:t>cashflow</w:t>
      </w:r>
      <w:proofErr w:type="spellEnd"/>
      <w:r w:rsidRPr="001947E5">
        <w:rPr>
          <w:rFonts w:ascii="Arial" w:hAnsi="Arial" w:cs="Arial"/>
          <w:color w:val="000000" w:themeColor="text1"/>
        </w:rPr>
        <w:t xml:space="preserve"> analysis</w:t>
      </w:r>
      <w:r w:rsidRPr="001947E5">
        <w:rPr>
          <w:rFonts w:ascii="Arial" w:hAnsi="Arial" w:cs="Arial"/>
          <w:color w:val="000000" w:themeColor="text1"/>
        </w:rPr>
        <w:t>.</w:t>
      </w:r>
    </w:p>
    <w:p w:rsidR="00ED7154" w:rsidRPr="001947E5" w:rsidRDefault="00ED7154" w:rsidP="001947E5">
      <w:pPr>
        <w:widowControl w:val="0"/>
        <w:tabs>
          <w:tab w:val="left" w:pos="1604"/>
        </w:tabs>
        <w:autoSpaceDE w:val="0"/>
        <w:autoSpaceDN w:val="0"/>
        <w:spacing w:after="0" w:line="271" w:lineRule="auto"/>
        <w:ind w:right="120"/>
        <w:jc w:val="both"/>
        <w:rPr>
          <w:rFonts w:ascii="Arial" w:hAnsi="Arial" w:cs="Arial"/>
          <w:color w:val="000000" w:themeColor="text1"/>
        </w:rPr>
      </w:pPr>
    </w:p>
    <w:p w:rsidR="001947E5" w:rsidRPr="001947E5" w:rsidRDefault="001947E5" w:rsidP="001947E5">
      <w:pPr>
        <w:jc w:val="both"/>
        <w:rPr>
          <w:rFonts w:ascii="Arial" w:hAnsi="Arial" w:cs="Arial"/>
          <w:b/>
        </w:rPr>
      </w:pPr>
      <w:r w:rsidRPr="001947E5">
        <w:rPr>
          <w:rFonts w:ascii="Arial" w:hAnsi="Arial" w:cs="Arial"/>
          <w:b/>
        </w:rPr>
        <w:t>Transactional evidence</w:t>
      </w:r>
    </w:p>
    <w:p w:rsidR="00ED7154" w:rsidRPr="001947E5" w:rsidRDefault="00ED7154" w:rsidP="001947E5">
      <w:pPr>
        <w:jc w:val="both"/>
        <w:rPr>
          <w:rFonts w:ascii="Arial" w:hAnsi="Arial" w:cs="Arial"/>
          <w:kern w:val="0"/>
          <w14:ligatures w14:val="none"/>
        </w:rPr>
      </w:pPr>
      <w:r w:rsidRPr="001947E5">
        <w:rPr>
          <w:rFonts w:ascii="Arial" w:hAnsi="Arial" w:cs="Arial"/>
        </w:rPr>
        <w:t>Attached is a spreadsheet showing transactional evidence</w:t>
      </w:r>
      <w:r w:rsidR="001947E5">
        <w:rPr>
          <w:rFonts w:ascii="Arial" w:hAnsi="Arial" w:cs="Arial"/>
        </w:rPr>
        <w:t xml:space="preserve"> for</w:t>
      </w:r>
      <w:r w:rsidRPr="001947E5">
        <w:rPr>
          <w:rFonts w:ascii="Arial" w:hAnsi="Arial" w:cs="Arial"/>
        </w:rPr>
        <w:t xml:space="preserve"> “Food Retail”, not specifically “Discounter Supermarket”.</w:t>
      </w:r>
    </w:p>
    <w:p w:rsidR="00ED7154" w:rsidRPr="001947E5" w:rsidRDefault="00ED7154" w:rsidP="001947E5">
      <w:pPr>
        <w:jc w:val="both"/>
        <w:rPr>
          <w:rFonts w:ascii="Arial" w:hAnsi="Arial" w:cs="Arial"/>
        </w:rPr>
      </w:pPr>
      <w:r w:rsidRPr="001947E5">
        <w:rPr>
          <w:rFonts w:ascii="Arial" w:hAnsi="Arial" w:cs="Arial"/>
        </w:rPr>
        <w:t>A</w:t>
      </w:r>
      <w:r w:rsidRPr="001947E5">
        <w:rPr>
          <w:rFonts w:ascii="Arial" w:hAnsi="Arial" w:cs="Arial"/>
        </w:rPr>
        <w:t xml:space="preserve"> numb</w:t>
      </w:r>
      <w:r w:rsidRPr="001947E5">
        <w:rPr>
          <w:rFonts w:ascii="Arial" w:hAnsi="Arial" w:cs="Arial"/>
        </w:rPr>
        <w:t>er of transactions demonstrate</w:t>
      </w:r>
      <w:r w:rsidRPr="001947E5">
        <w:rPr>
          <w:rFonts w:ascii="Arial" w:hAnsi="Arial" w:cs="Arial"/>
        </w:rPr>
        <w:t xml:space="preserve"> values as high as </w:t>
      </w:r>
      <w:r w:rsidRPr="001947E5">
        <w:rPr>
          <w:rFonts w:ascii="Arial" w:hAnsi="Arial" w:cs="Arial"/>
          <w:bCs/>
        </w:rPr>
        <w:t xml:space="preserve">£6,000 </w:t>
      </w:r>
      <w:proofErr w:type="spellStart"/>
      <w:r w:rsidRPr="001947E5">
        <w:rPr>
          <w:rFonts w:ascii="Arial" w:hAnsi="Arial" w:cs="Arial"/>
          <w:bCs/>
        </w:rPr>
        <w:t>SqM</w:t>
      </w:r>
      <w:proofErr w:type="spellEnd"/>
      <w:r w:rsidRPr="001947E5">
        <w:rPr>
          <w:rFonts w:ascii="Arial" w:hAnsi="Arial" w:cs="Arial"/>
        </w:rPr>
        <w:t xml:space="preserve"> and averaging </w:t>
      </w:r>
      <w:r w:rsidRPr="001947E5">
        <w:rPr>
          <w:rFonts w:ascii="Arial" w:hAnsi="Arial" w:cs="Arial"/>
          <w:bCs/>
        </w:rPr>
        <w:t xml:space="preserve">£4,150 </w:t>
      </w:r>
      <w:proofErr w:type="spellStart"/>
      <w:r w:rsidRPr="001947E5">
        <w:rPr>
          <w:rFonts w:ascii="Arial" w:hAnsi="Arial" w:cs="Arial"/>
          <w:bCs/>
        </w:rPr>
        <w:t>SqM</w:t>
      </w:r>
      <w:proofErr w:type="spellEnd"/>
      <w:r w:rsidRPr="001947E5">
        <w:rPr>
          <w:rFonts w:ascii="Arial" w:hAnsi="Arial" w:cs="Arial"/>
          <w:bCs/>
        </w:rPr>
        <w:t>.</w:t>
      </w:r>
      <w:r w:rsidRPr="001947E5">
        <w:rPr>
          <w:rFonts w:ascii="Arial" w:hAnsi="Arial" w:cs="Arial"/>
        </w:rPr>
        <w:t xml:space="preserve"> </w:t>
      </w:r>
      <w:r w:rsidR="001947E5" w:rsidRPr="001947E5">
        <w:rPr>
          <w:rFonts w:ascii="Arial" w:hAnsi="Arial" w:cs="Arial"/>
          <w:iCs/>
        </w:rPr>
        <w:t>The proposed</w:t>
      </w:r>
      <w:r w:rsidRPr="001947E5">
        <w:rPr>
          <w:rFonts w:ascii="Arial" w:hAnsi="Arial" w:cs="Arial"/>
          <w:iCs/>
        </w:rPr>
        <w:t xml:space="preserve"> figure of £2,750 </w:t>
      </w:r>
      <w:r w:rsidR="001947E5" w:rsidRPr="001947E5">
        <w:rPr>
          <w:rFonts w:ascii="Arial" w:hAnsi="Arial" w:cs="Arial"/>
          <w:iCs/>
        </w:rPr>
        <w:t xml:space="preserve">is considered </w:t>
      </w:r>
      <w:proofErr w:type="gramStart"/>
      <w:r w:rsidR="001947E5" w:rsidRPr="001947E5">
        <w:rPr>
          <w:rFonts w:ascii="Arial" w:hAnsi="Arial" w:cs="Arial"/>
          <w:iCs/>
        </w:rPr>
        <w:t>to be</w:t>
      </w:r>
      <w:r w:rsidRPr="001947E5">
        <w:rPr>
          <w:rFonts w:ascii="Arial" w:hAnsi="Arial" w:cs="Arial"/>
          <w:iCs/>
        </w:rPr>
        <w:t xml:space="preserve"> a</w:t>
      </w:r>
      <w:proofErr w:type="gramEnd"/>
      <w:r w:rsidRPr="001947E5">
        <w:rPr>
          <w:rFonts w:ascii="Arial" w:hAnsi="Arial" w:cs="Arial"/>
          <w:iCs/>
        </w:rPr>
        <w:t xml:space="preserve"> very conservative rate.</w:t>
      </w:r>
    </w:p>
    <w:p w:rsidR="00ED7154" w:rsidRPr="001947E5" w:rsidRDefault="00ED7154" w:rsidP="001947E5">
      <w:pPr>
        <w:jc w:val="both"/>
        <w:rPr>
          <w:rFonts w:ascii="Arial" w:hAnsi="Arial" w:cs="Arial"/>
        </w:rPr>
      </w:pPr>
      <w:r w:rsidRPr="001947E5">
        <w:rPr>
          <w:rFonts w:ascii="Arial" w:hAnsi="Arial" w:cs="Arial"/>
        </w:rPr>
        <w:t>T</w:t>
      </w:r>
      <w:r w:rsidRPr="001947E5">
        <w:rPr>
          <w:rFonts w:ascii="Arial" w:hAnsi="Arial" w:cs="Arial"/>
        </w:rPr>
        <w:t>he second section o</w:t>
      </w:r>
      <w:r w:rsidRPr="001947E5">
        <w:rPr>
          <w:rFonts w:ascii="Arial" w:hAnsi="Arial" w:cs="Arial"/>
        </w:rPr>
        <w:t xml:space="preserve">f the spreadsheet sets out </w:t>
      </w:r>
      <w:r w:rsidRPr="001947E5">
        <w:rPr>
          <w:rFonts w:ascii="Arial" w:hAnsi="Arial" w:cs="Arial"/>
        </w:rPr>
        <w:t xml:space="preserve">recent </w:t>
      </w:r>
      <w:r w:rsidRPr="001947E5">
        <w:rPr>
          <w:rFonts w:ascii="Arial" w:hAnsi="Arial" w:cs="Arial"/>
          <w:iCs/>
        </w:rPr>
        <w:t>discounter-specific</w:t>
      </w:r>
      <w:r w:rsidRPr="001947E5">
        <w:rPr>
          <w:rFonts w:ascii="Arial" w:hAnsi="Arial" w:cs="Arial"/>
        </w:rPr>
        <w:t xml:space="preserve"> sales.</w:t>
      </w:r>
      <w:r w:rsidRPr="001947E5">
        <w:rPr>
          <w:rFonts w:ascii="Arial" w:hAnsi="Arial" w:cs="Arial"/>
        </w:rPr>
        <w:t xml:space="preserve"> </w:t>
      </w:r>
      <w:r w:rsidRPr="001947E5">
        <w:rPr>
          <w:rFonts w:ascii="Arial" w:hAnsi="Arial" w:cs="Arial"/>
        </w:rPr>
        <w:t xml:space="preserve">The rates achieved range from </w:t>
      </w:r>
      <w:r w:rsidRPr="001947E5">
        <w:rPr>
          <w:rFonts w:ascii="Arial" w:hAnsi="Arial" w:cs="Arial"/>
          <w:bCs/>
        </w:rPr>
        <w:t xml:space="preserve">£2,659 </w:t>
      </w:r>
      <w:proofErr w:type="spellStart"/>
      <w:r w:rsidRPr="001947E5">
        <w:rPr>
          <w:rFonts w:ascii="Arial" w:hAnsi="Arial" w:cs="Arial"/>
          <w:bCs/>
        </w:rPr>
        <w:t>SqM</w:t>
      </w:r>
      <w:proofErr w:type="spellEnd"/>
      <w:r w:rsidRPr="001947E5">
        <w:rPr>
          <w:rFonts w:ascii="Arial" w:hAnsi="Arial" w:cs="Arial"/>
        </w:rPr>
        <w:t xml:space="preserve"> to </w:t>
      </w:r>
      <w:r w:rsidRPr="001947E5">
        <w:rPr>
          <w:rFonts w:ascii="Arial" w:hAnsi="Arial" w:cs="Arial"/>
          <w:bCs/>
        </w:rPr>
        <w:t xml:space="preserve">£4,026 </w:t>
      </w:r>
      <w:proofErr w:type="spellStart"/>
      <w:r w:rsidRPr="001947E5">
        <w:rPr>
          <w:rFonts w:ascii="Arial" w:hAnsi="Arial" w:cs="Arial"/>
          <w:bCs/>
        </w:rPr>
        <w:t>SqM</w:t>
      </w:r>
      <w:proofErr w:type="spellEnd"/>
      <w:r w:rsidRPr="001947E5">
        <w:rPr>
          <w:rFonts w:ascii="Arial" w:hAnsi="Arial" w:cs="Arial"/>
        </w:rPr>
        <w:t xml:space="preserve"> with an </w:t>
      </w:r>
      <w:r w:rsidRPr="001947E5">
        <w:rPr>
          <w:rFonts w:ascii="Arial" w:hAnsi="Arial" w:cs="Arial"/>
          <w:iCs/>
        </w:rPr>
        <w:t>average</w:t>
      </w:r>
      <w:r w:rsidRPr="001947E5">
        <w:rPr>
          <w:rFonts w:ascii="Arial" w:hAnsi="Arial" w:cs="Arial"/>
        </w:rPr>
        <w:t xml:space="preserve"> of </w:t>
      </w:r>
      <w:r w:rsidRPr="001947E5">
        <w:rPr>
          <w:rFonts w:ascii="Arial" w:hAnsi="Arial" w:cs="Arial"/>
          <w:bCs/>
        </w:rPr>
        <w:t>£3,528</w:t>
      </w:r>
      <w:r w:rsidRPr="001947E5">
        <w:rPr>
          <w:rFonts w:ascii="Arial" w:hAnsi="Arial" w:cs="Arial"/>
          <w:b/>
          <w:bCs/>
        </w:rPr>
        <w:t xml:space="preserve">. </w:t>
      </w:r>
      <w:r w:rsidRPr="001947E5">
        <w:rPr>
          <w:rFonts w:ascii="Arial" w:hAnsi="Arial" w:cs="Arial"/>
        </w:rPr>
        <w:t xml:space="preserve">Even in the specific sub-category, </w:t>
      </w:r>
      <w:r w:rsidRPr="001947E5">
        <w:rPr>
          <w:rFonts w:ascii="Arial" w:hAnsi="Arial" w:cs="Arial"/>
        </w:rPr>
        <w:t>the</w:t>
      </w:r>
      <w:r w:rsidRPr="001947E5">
        <w:rPr>
          <w:rFonts w:ascii="Arial" w:hAnsi="Arial" w:cs="Arial"/>
        </w:rPr>
        <w:t xml:space="preserve"> figure </w:t>
      </w:r>
      <w:r w:rsidRPr="001947E5">
        <w:rPr>
          <w:rFonts w:ascii="Arial" w:hAnsi="Arial" w:cs="Arial"/>
        </w:rPr>
        <w:t xml:space="preserve">proposed </w:t>
      </w:r>
      <w:proofErr w:type="gramStart"/>
      <w:r w:rsidRPr="001947E5">
        <w:rPr>
          <w:rFonts w:ascii="Arial" w:hAnsi="Arial" w:cs="Arial"/>
        </w:rPr>
        <w:t>is towards the lower end of the range demonstrated</w:t>
      </w:r>
      <w:proofErr w:type="gramEnd"/>
      <w:r w:rsidRPr="001947E5">
        <w:rPr>
          <w:rFonts w:ascii="Arial" w:hAnsi="Arial" w:cs="Arial"/>
        </w:rPr>
        <w:t>.</w:t>
      </w:r>
    </w:p>
    <w:p w:rsidR="00ED7154" w:rsidRPr="001947E5" w:rsidRDefault="00ED7154" w:rsidP="001947E5">
      <w:pPr>
        <w:jc w:val="both"/>
        <w:rPr>
          <w:rFonts w:ascii="Arial" w:hAnsi="Arial" w:cs="Arial"/>
        </w:rPr>
      </w:pPr>
      <w:r w:rsidRPr="001947E5">
        <w:rPr>
          <w:rFonts w:ascii="Arial" w:hAnsi="Arial" w:cs="Arial"/>
        </w:rPr>
        <w:t xml:space="preserve">From </w:t>
      </w:r>
      <w:r w:rsidRPr="001947E5">
        <w:rPr>
          <w:rFonts w:ascii="Arial" w:hAnsi="Arial" w:cs="Arial"/>
        </w:rPr>
        <w:t xml:space="preserve">our </w:t>
      </w:r>
      <w:proofErr w:type="gramStart"/>
      <w:r w:rsidRPr="001947E5">
        <w:rPr>
          <w:rFonts w:ascii="Arial" w:hAnsi="Arial" w:cs="Arial"/>
        </w:rPr>
        <w:t>consultants</w:t>
      </w:r>
      <w:proofErr w:type="gramEnd"/>
      <w:r w:rsidRPr="001947E5">
        <w:rPr>
          <w:rFonts w:ascii="Arial" w:hAnsi="Arial" w:cs="Arial"/>
        </w:rPr>
        <w:t xml:space="preserve"> market knowledge, and ongoing discussions with agents retained to acquir</w:t>
      </w:r>
      <w:r w:rsidR="001947E5">
        <w:rPr>
          <w:rFonts w:ascii="Arial" w:hAnsi="Arial" w:cs="Arial"/>
        </w:rPr>
        <w:t xml:space="preserve">e sites for discounter chains, </w:t>
      </w:r>
      <w:r w:rsidRPr="001947E5">
        <w:rPr>
          <w:rFonts w:ascii="Arial" w:hAnsi="Arial" w:cs="Arial"/>
        </w:rPr>
        <w:t xml:space="preserve">our consultants </w:t>
      </w:r>
      <w:r w:rsidR="001947E5">
        <w:rPr>
          <w:rFonts w:ascii="Arial" w:hAnsi="Arial" w:cs="Arial"/>
        </w:rPr>
        <w:t>are</w:t>
      </w:r>
      <w:r w:rsidRPr="001947E5">
        <w:rPr>
          <w:rFonts w:ascii="Arial" w:hAnsi="Arial" w:cs="Arial"/>
        </w:rPr>
        <w:t xml:space="preserve"> confident that typical </w:t>
      </w:r>
      <w:r w:rsidRPr="001947E5">
        <w:rPr>
          <w:rFonts w:ascii="Arial" w:hAnsi="Arial" w:cs="Arial"/>
          <w:iCs/>
        </w:rPr>
        <w:t>rents</w:t>
      </w:r>
      <w:r w:rsidRPr="001947E5">
        <w:rPr>
          <w:rFonts w:ascii="Arial" w:hAnsi="Arial" w:cs="Arial"/>
        </w:rPr>
        <w:t xml:space="preserve"> </w:t>
      </w:r>
      <w:r w:rsidRPr="001947E5">
        <w:rPr>
          <w:rFonts w:ascii="Arial" w:hAnsi="Arial" w:cs="Arial"/>
        </w:rPr>
        <w:t xml:space="preserve">range from £135 </w:t>
      </w:r>
      <w:proofErr w:type="spellStart"/>
      <w:r w:rsidRPr="001947E5">
        <w:rPr>
          <w:rFonts w:ascii="Arial" w:hAnsi="Arial" w:cs="Arial"/>
        </w:rPr>
        <w:t>SqM</w:t>
      </w:r>
      <w:proofErr w:type="spellEnd"/>
      <w:r w:rsidRPr="001947E5">
        <w:rPr>
          <w:rFonts w:ascii="Arial" w:hAnsi="Arial" w:cs="Arial"/>
        </w:rPr>
        <w:t xml:space="preserve"> to £188 </w:t>
      </w:r>
      <w:proofErr w:type="spellStart"/>
      <w:r w:rsidRPr="001947E5">
        <w:rPr>
          <w:rFonts w:ascii="Arial" w:hAnsi="Arial" w:cs="Arial"/>
        </w:rPr>
        <w:t>SqM</w:t>
      </w:r>
      <w:proofErr w:type="spellEnd"/>
      <w:r w:rsidRPr="001947E5">
        <w:rPr>
          <w:rFonts w:ascii="Arial" w:hAnsi="Arial" w:cs="Arial"/>
        </w:rPr>
        <w:t xml:space="preserve"> and is evidenced </w:t>
      </w:r>
      <w:r w:rsidRPr="001947E5">
        <w:rPr>
          <w:rFonts w:ascii="Arial" w:hAnsi="Arial" w:cs="Arial"/>
        </w:rPr>
        <w:t>by the rents listed in the attached schedule.</w:t>
      </w:r>
    </w:p>
    <w:p w:rsidR="00ED7154" w:rsidRPr="001947E5" w:rsidRDefault="00ED7154" w:rsidP="001947E5">
      <w:pPr>
        <w:jc w:val="both"/>
        <w:rPr>
          <w:rFonts w:ascii="Arial" w:hAnsi="Arial" w:cs="Arial"/>
        </w:rPr>
      </w:pPr>
      <w:r w:rsidRPr="001947E5">
        <w:rPr>
          <w:rFonts w:ascii="Arial" w:hAnsi="Arial" w:cs="Arial"/>
        </w:rPr>
        <w:t>Yields range from broadly 4.5%-6% (assuming a new-build and therefore new institutional lease).</w:t>
      </w:r>
    </w:p>
    <w:p w:rsidR="00ED7154" w:rsidRPr="001947E5" w:rsidRDefault="001947E5" w:rsidP="001947E5">
      <w:pPr>
        <w:jc w:val="both"/>
        <w:rPr>
          <w:rFonts w:ascii="Arial" w:hAnsi="Arial" w:cs="Arial"/>
        </w:rPr>
      </w:pPr>
      <w:r>
        <w:rPr>
          <w:rFonts w:ascii="Arial" w:hAnsi="Arial" w:cs="Arial"/>
        </w:rPr>
        <w:t>As such, w</w:t>
      </w:r>
      <w:r w:rsidR="00ED7154" w:rsidRPr="001947E5">
        <w:rPr>
          <w:rFonts w:ascii="Arial" w:hAnsi="Arial" w:cs="Arial"/>
        </w:rPr>
        <w:t>e consider that</w:t>
      </w:r>
      <w:r w:rsidR="00ED7154" w:rsidRPr="001947E5">
        <w:rPr>
          <w:rFonts w:ascii="Arial" w:hAnsi="Arial" w:cs="Arial"/>
        </w:rPr>
        <w:t xml:space="preserve"> the attached comparable evidence justifies the figure </w:t>
      </w:r>
      <w:r w:rsidR="00ED7154" w:rsidRPr="001947E5">
        <w:rPr>
          <w:rFonts w:ascii="Arial" w:hAnsi="Arial" w:cs="Arial"/>
        </w:rPr>
        <w:t>proposed</w:t>
      </w:r>
      <w:r>
        <w:rPr>
          <w:rFonts w:ascii="Arial" w:hAnsi="Arial" w:cs="Arial"/>
        </w:rPr>
        <w:t>.</w:t>
      </w:r>
    </w:p>
    <w:p w:rsidR="00ED7154" w:rsidRPr="001947E5" w:rsidRDefault="00ED7154" w:rsidP="001947E5">
      <w:pPr>
        <w:jc w:val="both"/>
        <w:rPr>
          <w:rFonts w:ascii="Arial" w:hAnsi="Arial" w:cs="Arial"/>
        </w:rPr>
      </w:pPr>
      <w:r w:rsidRPr="001947E5">
        <w:rPr>
          <w:rFonts w:ascii="Arial" w:hAnsi="Arial" w:cs="Arial"/>
        </w:rPr>
        <w:t xml:space="preserve">In terms of the </w:t>
      </w:r>
      <w:r w:rsidRPr="001947E5">
        <w:rPr>
          <w:rFonts w:ascii="Arial" w:hAnsi="Arial" w:cs="Arial"/>
        </w:rPr>
        <w:t>methodology of capitalising an estima</w:t>
      </w:r>
      <w:r w:rsidR="001947E5" w:rsidRPr="001947E5">
        <w:rPr>
          <w:rFonts w:ascii="Arial" w:hAnsi="Arial" w:cs="Arial"/>
        </w:rPr>
        <w:t>ted rental figure to produce an</w:t>
      </w:r>
      <w:r w:rsidRPr="001947E5">
        <w:rPr>
          <w:rFonts w:ascii="Arial" w:hAnsi="Arial" w:cs="Arial"/>
        </w:rPr>
        <w:t xml:space="preserve"> assumed capital </w:t>
      </w:r>
      <w:proofErr w:type="gramStart"/>
      <w:r w:rsidRPr="001947E5">
        <w:rPr>
          <w:rFonts w:ascii="Arial" w:hAnsi="Arial" w:cs="Arial"/>
        </w:rPr>
        <w:t>value</w:t>
      </w:r>
      <w:r w:rsidR="001947E5" w:rsidRPr="001947E5">
        <w:rPr>
          <w:rFonts w:ascii="Arial" w:hAnsi="Arial" w:cs="Arial"/>
        </w:rPr>
        <w:t>;</w:t>
      </w:r>
      <w:proofErr w:type="gramEnd"/>
      <w:r w:rsidR="001947E5" w:rsidRPr="001947E5">
        <w:rPr>
          <w:rFonts w:ascii="Arial" w:hAnsi="Arial" w:cs="Arial"/>
        </w:rPr>
        <w:t xml:space="preserve"> th</w:t>
      </w:r>
      <w:r w:rsidRPr="001947E5">
        <w:rPr>
          <w:rFonts w:ascii="Arial" w:hAnsi="Arial" w:cs="Arial"/>
        </w:rPr>
        <w:t>is was done as a second “sense-check” method in conjunction with the capital comparison method from the sale</w:t>
      </w:r>
      <w:r w:rsidR="001947E5">
        <w:rPr>
          <w:rFonts w:ascii="Arial" w:hAnsi="Arial" w:cs="Arial"/>
        </w:rPr>
        <w:t>s</w:t>
      </w:r>
      <w:r w:rsidRPr="001947E5">
        <w:rPr>
          <w:rFonts w:ascii="Arial" w:hAnsi="Arial" w:cs="Arial"/>
        </w:rPr>
        <w:t xml:space="preserve"> data from elsewhere.</w:t>
      </w:r>
    </w:p>
    <w:p w:rsidR="00ED7154" w:rsidRPr="001947E5" w:rsidRDefault="001947E5" w:rsidP="001947E5">
      <w:pPr>
        <w:jc w:val="both"/>
        <w:rPr>
          <w:rFonts w:ascii="Arial" w:hAnsi="Arial" w:cs="Arial"/>
        </w:rPr>
      </w:pPr>
      <w:r w:rsidRPr="001947E5">
        <w:rPr>
          <w:rFonts w:ascii="Arial" w:hAnsi="Arial" w:cs="Arial"/>
        </w:rPr>
        <w:t>We</w:t>
      </w:r>
      <w:r w:rsidR="00ED7154" w:rsidRPr="001947E5">
        <w:rPr>
          <w:rFonts w:ascii="Arial" w:hAnsi="Arial" w:cs="Arial"/>
        </w:rPr>
        <w:t xml:space="preserve"> acknowledge </w:t>
      </w:r>
      <w:r w:rsidRPr="001947E5">
        <w:rPr>
          <w:rFonts w:ascii="Arial" w:hAnsi="Arial" w:cs="Arial"/>
        </w:rPr>
        <w:t>that</w:t>
      </w:r>
      <w:r w:rsidR="00ED7154" w:rsidRPr="001947E5">
        <w:rPr>
          <w:rFonts w:ascii="Arial" w:hAnsi="Arial" w:cs="Arial"/>
        </w:rPr>
        <w:t xml:space="preserve"> the commentary within the Valuation Report sets out a </w:t>
      </w:r>
      <w:r>
        <w:rPr>
          <w:rFonts w:ascii="Arial" w:hAnsi="Arial" w:cs="Arial"/>
        </w:rPr>
        <w:t>‘broad-brush’</w:t>
      </w:r>
      <w:r w:rsidR="00ED7154" w:rsidRPr="001947E5">
        <w:rPr>
          <w:rFonts w:ascii="Arial" w:hAnsi="Arial" w:cs="Arial"/>
        </w:rPr>
        <w:t xml:space="preserve"> methodology for rental capitalisation.</w:t>
      </w:r>
      <w:r w:rsidRPr="001947E5">
        <w:rPr>
          <w:rFonts w:ascii="Arial" w:hAnsi="Arial" w:cs="Arial"/>
        </w:rPr>
        <w:t xml:space="preserve"> </w:t>
      </w:r>
      <w:r w:rsidR="00ED7154" w:rsidRPr="001947E5">
        <w:rPr>
          <w:rFonts w:ascii="Arial" w:hAnsi="Arial" w:cs="Arial"/>
        </w:rPr>
        <w:t xml:space="preserve">The amended </w:t>
      </w:r>
      <w:proofErr w:type="gramStart"/>
      <w:r w:rsidR="00ED7154" w:rsidRPr="001947E5">
        <w:rPr>
          <w:rFonts w:ascii="Arial" w:hAnsi="Arial" w:cs="Arial"/>
        </w:rPr>
        <w:t>assessment which</w:t>
      </w:r>
      <w:r>
        <w:rPr>
          <w:rFonts w:ascii="Arial" w:hAnsi="Arial" w:cs="Arial"/>
        </w:rPr>
        <w:t xml:space="preserve"> was tabled during the hearing</w:t>
      </w:r>
      <w:proofErr w:type="gramEnd"/>
      <w:r>
        <w:rPr>
          <w:rFonts w:ascii="Arial" w:hAnsi="Arial" w:cs="Arial"/>
        </w:rPr>
        <w:t xml:space="preserve"> </w:t>
      </w:r>
      <w:r w:rsidR="00ED7154" w:rsidRPr="001947E5">
        <w:rPr>
          <w:rFonts w:ascii="Arial" w:hAnsi="Arial" w:cs="Arial"/>
        </w:rPr>
        <w:t>is also attached.</w:t>
      </w:r>
    </w:p>
    <w:p w:rsidR="00ED7154" w:rsidRPr="001947E5" w:rsidRDefault="00ED7154" w:rsidP="001947E5">
      <w:pPr>
        <w:jc w:val="both"/>
        <w:rPr>
          <w:rFonts w:ascii="Arial" w:hAnsi="Arial" w:cs="Arial"/>
        </w:rPr>
      </w:pPr>
      <w:r w:rsidRPr="001947E5">
        <w:rPr>
          <w:rFonts w:ascii="Arial" w:hAnsi="Arial" w:cs="Arial"/>
        </w:rPr>
        <w:t xml:space="preserve">From the rental range above, </w:t>
      </w:r>
      <w:proofErr w:type="gramStart"/>
      <w:r w:rsidR="001947E5" w:rsidRPr="001947E5">
        <w:rPr>
          <w:rFonts w:ascii="Arial" w:hAnsi="Arial" w:cs="Arial"/>
        </w:rPr>
        <w:t>we’ve</w:t>
      </w:r>
      <w:proofErr w:type="gramEnd"/>
      <w:r w:rsidRPr="001947E5">
        <w:rPr>
          <w:rFonts w:ascii="Arial" w:hAnsi="Arial" w:cs="Arial"/>
        </w:rPr>
        <w:t xml:space="preserve"> adopted a mid-point rental figure - £161 </w:t>
      </w:r>
      <w:proofErr w:type="spellStart"/>
      <w:r w:rsidRPr="001947E5">
        <w:rPr>
          <w:rFonts w:ascii="Arial" w:hAnsi="Arial" w:cs="Arial"/>
        </w:rPr>
        <w:t>SqM</w:t>
      </w:r>
      <w:proofErr w:type="spellEnd"/>
      <w:r w:rsidRPr="001947E5">
        <w:rPr>
          <w:rFonts w:ascii="Arial" w:hAnsi="Arial" w:cs="Arial"/>
        </w:rPr>
        <w:t xml:space="preserve"> (£15 per </w:t>
      </w:r>
      <w:proofErr w:type="spellStart"/>
      <w:r w:rsidRPr="001947E5">
        <w:rPr>
          <w:rFonts w:ascii="Arial" w:hAnsi="Arial" w:cs="Arial"/>
        </w:rPr>
        <w:t>sqft</w:t>
      </w:r>
      <w:proofErr w:type="spellEnd"/>
      <w:r w:rsidRPr="001947E5">
        <w:rPr>
          <w:rFonts w:ascii="Arial" w:hAnsi="Arial" w:cs="Arial"/>
        </w:rPr>
        <w:t>), and applied a mid-point yield of 5.5%.</w:t>
      </w:r>
    </w:p>
    <w:p w:rsidR="001947E5" w:rsidRDefault="00ED7154" w:rsidP="001947E5">
      <w:pPr>
        <w:jc w:val="both"/>
        <w:rPr>
          <w:rFonts w:ascii="Arial" w:hAnsi="Arial" w:cs="Arial"/>
        </w:rPr>
      </w:pPr>
      <w:r w:rsidRPr="001947E5">
        <w:rPr>
          <w:rFonts w:ascii="Arial" w:hAnsi="Arial" w:cs="Arial"/>
        </w:rPr>
        <w:t xml:space="preserve">The attached calculator output shows a resulting capital value (allowing for acquisition costs of 6.4%) of </w:t>
      </w:r>
      <w:r w:rsidRPr="001947E5">
        <w:rPr>
          <w:rFonts w:ascii="Arial" w:hAnsi="Arial" w:cs="Arial"/>
          <w:bCs/>
        </w:rPr>
        <w:t xml:space="preserve">£2,751 </w:t>
      </w:r>
      <w:proofErr w:type="spellStart"/>
      <w:r w:rsidRPr="001947E5">
        <w:rPr>
          <w:rFonts w:ascii="Arial" w:hAnsi="Arial" w:cs="Arial"/>
          <w:bCs/>
        </w:rPr>
        <w:t>SqM</w:t>
      </w:r>
      <w:proofErr w:type="spellEnd"/>
      <w:r w:rsidR="001947E5" w:rsidRPr="001947E5">
        <w:rPr>
          <w:rFonts w:ascii="Arial" w:hAnsi="Arial" w:cs="Arial"/>
        </w:rPr>
        <w:t xml:space="preserve">. </w:t>
      </w:r>
      <w:r w:rsidRPr="001947E5">
        <w:rPr>
          <w:rFonts w:ascii="Arial" w:hAnsi="Arial" w:cs="Arial"/>
        </w:rPr>
        <w:t xml:space="preserve">If the yield is changed to a more realistic 5% (assuming a new build with new institutional lease), this figure increases to </w:t>
      </w:r>
      <w:r w:rsidRPr="001947E5">
        <w:rPr>
          <w:rFonts w:ascii="Arial" w:hAnsi="Arial" w:cs="Arial"/>
          <w:bCs/>
        </w:rPr>
        <w:t xml:space="preserve">£3,025 </w:t>
      </w:r>
      <w:proofErr w:type="spellStart"/>
      <w:r w:rsidRPr="001947E5">
        <w:rPr>
          <w:rFonts w:ascii="Arial" w:hAnsi="Arial" w:cs="Arial"/>
          <w:bCs/>
        </w:rPr>
        <w:t>SqM</w:t>
      </w:r>
      <w:proofErr w:type="spellEnd"/>
      <w:r w:rsidR="001947E5" w:rsidRPr="001947E5">
        <w:rPr>
          <w:rFonts w:ascii="Arial" w:hAnsi="Arial" w:cs="Arial"/>
        </w:rPr>
        <w:t xml:space="preserve">. </w:t>
      </w:r>
    </w:p>
    <w:p w:rsidR="00B82DA1" w:rsidRDefault="00ED7154" w:rsidP="001947E5">
      <w:pPr>
        <w:jc w:val="both"/>
        <w:rPr>
          <w:rFonts w:ascii="Arial" w:hAnsi="Arial" w:cs="Arial"/>
        </w:rPr>
      </w:pPr>
      <w:r w:rsidRPr="001947E5">
        <w:rPr>
          <w:rFonts w:ascii="Arial" w:hAnsi="Arial" w:cs="Arial"/>
          <w:iCs/>
        </w:rPr>
        <w:t xml:space="preserve">It </w:t>
      </w:r>
      <w:proofErr w:type="gramStart"/>
      <w:r w:rsidRPr="001947E5">
        <w:rPr>
          <w:rFonts w:ascii="Arial" w:hAnsi="Arial" w:cs="Arial"/>
          <w:iCs/>
        </w:rPr>
        <w:t>should be noted</w:t>
      </w:r>
      <w:proofErr w:type="gramEnd"/>
      <w:r w:rsidRPr="001947E5">
        <w:rPr>
          <w:rFonts w:ascii="Arial" w:hAnsi="Arial" w:cs="Arial"/>
        </w:rPr>
        <w:t xml:space="preserve"> </w:t>
      </w:r>
      <w:bookmarkStart w:id="0" w:name="_GoBack"/>
      <w:bookmarkEnd w:id="0"/>
      <w:r w:rsidRPr="001947E5">
        <w:rPr>
          <w:rFonts w:ascii="Arial" w:hAnsi="Arial" w:cs="Arial"/>
        </w:rPr>
        <w:t>that</w:t>
      </w:r>
      <w:r w:rsidR="00B82DA1">
        <w:rPr>
          <w:rFonts w:ascii="Arial" w:hAnsi="Arial" w:cs="Arial"/>
        </w:rPr>
        <w:t>:</w:t>
      </w:r>
      <w:r w:rsidRPr="001947E5">
        <w:rPr>
          <w:rFonts w:ascii="Arial" w:hAnsi="Arial" w:cs="Arial"/>
        </w:rPr>
        <w:t xml:space="preserve"> </w:t>
      </w:r>
    </w:p>
    <w:p w:rsidR="00B82DA1" w:rsidRPr="00B82DA1" w:rsidRDefault="001947E5" w:rsidP="00B82DA1">
      <w:pPr>
        <w:pStyle w:val="ListParagraph"/>
        <w:numPr>
          <w:ilvl w:val="0"/>
          <w:numId w:val="2"/>
        </w:numPr>
        <w:jc w:val="both"/>
        <w:rPr>
          <w:rFonts w:ascii="Arial" w:hAnsi="Arial" w:cs="Arial"/>
        </w:rPr>
      </w:pPr>
      <w:proofErr w:type="gramStart"/>
      <w:r w:rsidRPr="00B82DA1">
        <w:rPr>
          <w:rFonts w:ascii="Arial" w:hAnsi="Arial" w:cs="Arial"/>
        </w:rPr>
        <w:lastRenderedPageBreak/>
        <w:t>we</w:t>
      </w:r>
      <w:proofErr w:type="gramEnd"/>
      <w:r w:rsidRPr="00B82DA1">
        <w:rPr>
          <w:rFonts w:ascii="Arial" w:hAnsi="Arial" w:cs="Arial"/>
        </w:rPr>
        <w:t xml:space="preserve"> are </w:t>
      </w:r>
      <w:r w:rsidR="00ED7154" w:rsidRPr="00B82DA1">
        <w:rPr>
          <w:rFonts w:ascii="Arial" w:hAnsi="Arial" w:cs="Arial"/>
        </w:rPr>
        <w:t xml:space="preserve">capitalising an amount “per </w:t>
      </w:r>
      <w:proofErr w:type="spellStart"/>
      <w:r w:rsidR="00ED7154" w:rsidRPr="00B82DA1">
        <w:rPr>
          <w:rFonts w:ascii="Arial" w:hAnsi="Arial" w:cs="Arial"/>
        </w:rPr>
        <w:t>SqM</w:t>
      </w:r>
      <w:proofErr w:type="spellEnd"/>
      <w:r w:rsidR="00ED7154" w:rsidRPr="00B82DA1">
        <w:rPr>
          <w:rFonts w:ascii="Arial" w:hAnsi="Arial" w:cs="Arial"/>
        </w:rPr>
        <w:t xml:space="preserve">” (rather than a global rent), </w:t>
      </w:r>
      <w:r w:rsidR="00B82DA1" w:rsidRPr="00B82DA1">
        <w:rPr>
          <w:rFonts w:ascii="Arial" w:hAnsi="Arial" w:cs="Arial"/>
        </w:rPr>
        <w:t xml:space="preserve">so </w:t>
      </w:r>
      <w:r w:rsidR="00ED7154" w:rsidRPr="00B82DA1">
        <w:rPr>
          <w:rFonts w:ascii="Arial" w:hAnsi="Arial" w:cs="Arial"/>
        </w:rPr>
        <w:t>the rental amount (and resulting capital value) have been increased by x1000 (</w:t>
      </w:r>
      <w:proofErr w:type="spellStart"/>
      <w:r w:rsidR="00ED7154" w:rsidRPr="00B82DA1">
        <w:rPr>
          <w:rFonts w:ascii="Arial" w:hAnsi="Arial" w:cs="Arial"/>
        </w:rPr>
        <w:t>ie</w:t>
      </w:r>
      <w:proofErr w:type="spellEnd"/>
      <w:r w:rsidR="00ED7154" w:rsidRPr="00B82DA1">
        <w:rPr>
          <w:rFonts w:ascii="Arial" w:hAnsi="Arial" w:cs="Arial"/>
        </w:rPr>
        <w:t xml:space="preserve"> £161 </w:t>
      </w:r>
      <w:proofErr w:type="spellStart"/>
      <w:r w:rsidR="00ED7154" w:rsidRPr="00B82DA1">
        <w:rPr>
          <w:rFonts w:ascii="Arial" w:hAnsi="Arial" w:cs="Arial"/>
        </w:rPr>
        <w:t>SqM</w:t>
      </w:r>
      <w:proofErr w:type="spellEnd"/>
      <w:r w:rsidR="00ED7154" w:rsidRPr="00B82DA1">
        <w:rPr>
          <w:rFonts w:ascii="Arial" w:hAnsi="Arial" w:cs="Arial"/>
        </w:rPr>
        <w:t xml:space="preserve"> </w:t>
      </w:r>
      <w:r w:rsidR="00B82DA1" w:rsidRPr="00B82DA1">
        <w:rPr>
          <w:rFonts w:ascii="Arial" w:hAnsi="Arial" w:cs="Arial"/>
        </w:rPr>
        <w:t>is £161,000)</w:t>
      </w:r>
      <w:r w:rsidR="00ED7154" w:rsidRPr="00B82DA1">
        <w:rPr>
          <w:rFonts w:ascii="Arial" w:hAnsi="Arial" w:cs="Arial"/>
        </w:rPr>
        <w:t xml:space="preserve"> to ensure that realistic acquisition costs are applied by the software. </w:t>
      </w:r>
    </w:p>
    <w:p w:rsidR="00ED7154" w:rsidRPr="00B82DA1" w:rsidRDefault="001947E5" w:rsidP="00B82DA1">
      <w:pPr>
        <w:pStyle w:val="ListParagraph"/>
        <w:numPr>
          <w:ilvl w:val="0"/>
          <w:numId w:val="2"/>
        </w:numPr>
        <w:jc w:val="both"/>
        <w:rPr>
          <w:rFonts w:ascii="Arial" w:hAnsi="Arial" w:cs="Arial"/>
        </w:rPr>
      </w:pPr>
      <w:r w:rsidRPr="00B82DA1">
        <w:rPr>
          <w:rFonts w:ascii="Arial" w:hAnsi="Arial" w:cs="Arial"/>
        </w:rPr>
        <w:t>N</w:t>
      </w:r>
      <w:r w:rsidR="00ED7154" w:rsidRPr="00B82DA1">
        <w:rPr>
          <w:rFonts w:ascii="Arial" w:hAnsi="Arial" w:cs="Arial"/>
        </w:rPr>
        <w:t xml:space="preserve">o stamp duty would otherwise be </w:t>
      </w:r>
      <w:proofErr w:type="gramStart"/>
      <w:r w:rsidR="00ED7154" w:rsidRPr="00B82DA1">
        <w:rPr>
          <w:rFonts w:ascii="Arial" w:hAnsi="Arial" w:cs="Arial"/>
        </w:rPr>
        <w:t>applied</w:t>
      </w:r>
      <w:proofErr w:type="gramEnd"/>
      <w:r w:rsidR="00ED7154" w:rsidRPr="00B82DA1">
        <w:rPr>
          <w:rFonts w:ascii="Arial" w:hAnsi="Arial" w:cs="Arial"/>
        </w:rPr>
        <w:t xml:space="preserve"> as the figure for capitalisation would fall below the stamp threshold.</w:t>
      </w:r>
    </w:p>
    <w:p w:rsidR="00ED7154" w:rsidRPr="001947E5" w:rsidRDefault="00ED7154" w:rsidP="001947E5">
      <w:pPr>
        <w:jc w:val="both"/>
        <w:rPr>
          <w:rFonts w:ascii="Arial" w:hAnsi="Arial" w:cs="Arial"/>
        </w:rPr>
      </w:pPr>
      <w:r w:rsidRPr="001947E5">
        <w:rPr>
          <w:rFonts w:ascii="Arial" w:hAnsi="Arial" w:cs="Arial"/>
        </w:rPr>
        <w:t> </w:t>
      </w:r>
    </w:p>
    <w:p w:rsidR="006D0074" w:rsidRPr="001947E5" w:rsidRDefault="006D0074" w:rsidP="001947E5">
      <w:pPr>
        <w:jc w:val="both"/>
        <w:rPr>
          <w:rFonts w:ascii="Arial" w:hAnsi="Arial" w:cs="Arial"/>
        </w:rPr>
      </w:pPr>
    </w:p>
    <w:sectPr w:rsidR="006D0074" w:rsidRPr="001947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4002EFF" w:usb1="C000247B" w:usb2="00000009" w:usb3="00000000" w:csb0="000001FF" w:csb1="00000000"/>
  </w:font>
  <w:font w:name="Arial">
    <w:altName w:val="Tahom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213AA"/>
    <w:multiLevelType w:val="hybridMultilevel"/>
    <w:tmpl w:val="37309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124B8C"/>
    <w:multiLevelType w:val="hybridMultilevel"/>
    <w:tmpl w:val="B49EB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54"/>
    <w:rsid w:val="001947E5"/>
    <w:rsid w:val="006D0074"/>
    <w:rsid w:val="00B82DA1"/>
    <w:rsid w:val="00ED7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36C13"/>
  <w15:chartTrackingRefBased/>
  <w15:docId w15:val="{A62912C9-AD70-4EC4-A0F6-0B0EAF2E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154"/>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D7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6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Bassetlaw District Council</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Johnson</dc:creator>
  <cp:keywords/>
  <dc:description/>
  <cp:lastModifiedBy>Karen Johnson</cp:lastModifiedBy>
  <cp:revision>1</cp:revision>
  <dcterms:created xsi:type="dcterms:W3CDTF">2023-09-12T11:22:00Z</dcterms:created>
  <dcterms:modified xsi:type="dcterms:W3CDTF">2023-09-12T11:47:00Z</dcterms:modified>
</cp:coreProperties>
</file>