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8D" w:rsidRPr="00D14325" w:rsidRDefault="00557EBE" w:rsidP="00520B8D">
      <w:pPr>
        <w:rPr>
          <w:rFonts w:ascii="Swis721 BT" w:hAnsi="Swis721 BT"/>
          <w:b/>
          <w:sz w:val="28"/>
          <w:szCs w:val="28"/>
        </w:rPr>
      </w:pPr>
      <w:r>
        <w:rPr>
          <w:rFonts w:ascii="Swis721 BT" w:hAnsi="Swis721 BT"/>
          <w:b/>
          <w:sz w:val="28"/>
          <w:szCs w:val="28"/>
        </w:rPr>
        <w:t>Misterton</w:t>
      </w:r>
      <w:r w:rsidR="009C4CAE">
        <w:rPr>
          <w:rFonts w:ascii="Swis721 BT" w:hAnsi="Swis721 BT"/>
          <w:b/>
          <w:sz w:val="28"/>
          <w:szCs w:val="28"/>
        </w:rPr>
        <w:t xml:space="preserve"> Neighbourhood Plan</w:t>
      </w:r>
      <w:r w:rsidR="00AE6ABD">
        <w:rPr>
          <w:rFonts w:ascii="Swis721 BT" w:hAnsi="Swis721 BT"/>
          <w:b/>
          <w:sz w:val="28"/>
          <w:szCs w:val="28"/>
        </w:rPr>
        <w:t xml:space="preserve"> (Review)</w:t>
      </w:r>
      <w:r w:rsidR="00437311">
        <w:rPr>
          <w:rFonts w:ascii="Swis721 BT" w:hAnsi="Swis721 BT"/>
          <w:b/>
          <w:sz w:val="28"/>
          <w:szCs w:val="28"/>
        </w:rPr>
        <w:t xml:space="preserve">: </w:t>
      </w:r>
      <w:r w:rsidR="00437311" w:rsidRPr="00437311">
        <w:rPr>
          <w:rFonts w:ascii="Swis721 BT" w:hAnsi="Swis721 BT"/>
          <w:sz w:val="28"/>
          <w:szCs w:val="28"/>
        </w:rPr>
        <w:t>S</w:t>
      </w:r>
      <w:r w:rsidR="00520B8D" w:rsidRPr="00437311">
        <w:rPr>
          <w:rFonts w:ascii="Swis721 BT" w:hAnsi="Swis721 BT"/>
          <w:sz w:val="28"/>
          <w:szCs w:val="28"/>
        </w:rPr>
        <w:t>tatement</w:t>
      </w:r>
      <w:r w:rsidR="00437311" w:rsidRPr="00437311">
        <w:rPr>
          <w:rFonts w:ascii="Swis721 BT" w:hAnsi="Swis721 BT"/>
          <w:sz w:val="28"/>
          <w:szCs w:val="28"/>
        </w:rPr>
        <w:t xml:space="preserve"> of Extent </w:t>
      </w:r>
      <w:r w:rsidR="00437311">
        <w:rPr>
          <w:rFonts w:ascii="Swis721 BT" w:hAnsi="Swis721 BT"/>
          <w:sz w:val="28"/>
          <w:szCs w:val="28"/>
        </w:rPr>
        <w:t xml:space="preserve">and Nature </w:t>
      </w:r>
      <w:r w:rsidR="00437311" w:rsidRPr="00437311">
        <w:rPr>
          <w:rFonts w:ascii="Swis721 BT" w:hAnsi="Swis721 BT"/>
          <w:sz w:val="28"/>
          <w:szCs w:val="28"/>
        </w:rPr>
        <w:t xml:space="preserve">of Review </w:t>
      </w:r>
    </w:p>
    <w:p w:rsidR="00520B8D" w:rsidRPr="00E80A0D" w:rsidRDefault="000B1CCA" w:rsidP="00520B8D">
      <w:pPr>
        <w:rPr>
          <w:rFonts w:ascii="Swis721 BT" w:hAnsi="Swis721 BT"/>
          <w:sz w:val="28"/>
          <w:szCs w:val="28"/>
        </w:rPr>
      </w:pPr>
      <w:r>
        <w:rPr>
          <w:rFonts w:ascii="Swis721 BT" w:hAnsi="Swis721 BT"/>
          <w:sz w:val="28"/>
          <w:szCs w:val="28"/>
        </w:rPr>
        <w:t>13</w:t>
      </w:r>
      <w:r w:rsidR="00557EBE">
        <w:rPr>
          <w:rFonts w:ascii="Swis721 BT" w:hAnsi="Swis721 BT"/>
          <w:sz w:val="28"/>
          <w:szCs w:val="28"/>
        </w:rPr>
        <w:t xml:space="preserve"> September 2023</w:t>
      </w:r>
    </w:p>
    <w:p w:rsidR="00520B8D" w:rsidRDefault="00520B8D" w:rsidP="003609C7">
      <w:pPr>
        <w:rPr>
          <w:rFonts w:ascii="Swis721 BT" w:hAnsi="Swis721 BT"/>
          <w:b/>
        </w:rPr>
      </w:pPr>
    </w:p>
    <w:p w:rsidR="000B1CCA" w:rsidRPr="00A560D2" w:rsidRDefault="000B1CCA" w:rsidP="003609C7">
      <w:pPr>
        <w:rPr>
          <w:rFonts w:ascii="Swis721 BT" w:hAnsi="Swis721 BT"/>
          <w:b/>
        </w:rPr>
      </w:pPr>
    </w:p>
    <w:p w:rsidR="003609C7" w:rsidRPr="00A560D2" w:rsidRDefault="003609C7" w:rsidP="003609C7">
      <w:pPr>
        <w:rPr>
          <w:rFonts w:ascii="Swis721 BT" w:hAnsi="Swis721 BT"/>
          <w:b/>
        </w:rPr>
      </w:pPr>
      <w:r w:rsidRPr="00A560D2">
        <w:rPr>
          <w:rFonts w:ascii="Swis721 BT" w:hAnsi="Swis721 BT"/>
          <w:b/>
        </w:rPr>
        <w:t>1.</w:t>
      </w:r>
      <w:r w:rsidRPr="00A560D2">
        <w:rPr>
          <w:rFonts w:ascii="Swis721 BT" w:hAnsi="Swis721 BT"/>
          <w:b/>
        </w:rPr>
        <w:tab/>
      </w:r>
      <w:r w:rsidR="00264378" w:rsidRPr="00A560D2">
        <w:rPr>
          <w:rFonts w:ascii="Swis721 BT" w:hAnsi="Swis721 BT"/>
          <w:b/>
        </w:rPr>
        <w:t>Overview</w:t>
      </w:r>
    </w:p>
    <w:p w:rsidR="007E5E0D" w:rsidRPr="00A560D2" w:rsidRDefault="003609C7" w:rsidP="00105D64">
      <w:pPr>
        <w:ind w:left="720"/>
        <w:rPr>
          <w:rFonts w:ascii="Swis721 BT" w:hAnsi="Swis721 BT"/>
        </w:rPr>
      </w:pPr>
      <w:r w:rsidRPr="00A560D2">
        <w:rPr>
          <w:rFonts w:ascii="Swis721 BT" w:hAnsi="Swis721 BT"/>
        </w:rPr>
        <w:t xml:space="preserve">The </w:t>
      </w:r>
      <w:r w:rsidR="00D45D54">
        <w:rPr>
          <w:rFonts w:ascii="Swis721 BT" w:hAnsi="Swis721 BT"/>
        </w:rPr>
        <w:t>Misterton</w:t>
      </w:r>
      <w:r w:rsidRPr="00A560D2">
        <w:rPr>
          <w:rFonts w:ascii="Swis721 BT" w:hAnsi="Swis721 BT"/>
        </w:rPr>
        <w:t xml:space="preserve"> Neighbourhood Plan </w:t>
      </w:r>
      <w:r w:rsidR="007E5E0D" w:rsidRPr="00A560D2">
        <w:rPr>
          <w:rFonts w:ascii="Swis721 BT" w:hAnsi="Swis721 BT"/>
        </w:rPr>
        <w:t>was ‘made’ following a public referendu</w:t>
      </w:r>
      <w:r w:rsidR="007E5E0D" w:rsidRPr="009C6C67">
        <w:rPr>
          <w:rFonts w:ascii="Swis721 BT" w:hAnsi="Swis721 BT"/>
        </w:rPr>
        <w:t xml:space="preserve">m on </w:t>
      </w:r>
      <w:r w:rsidR="00D45D54">
        <w:rPr>
          <w:rFonts w:ascii="Swis721 BT" w:hAnsi="Swis721 BT"/>
        </w:rPr>
        <w:t>5 September 2019</w:t>
      </w:r>
      <w:r w:rsidR="007E5E0D" w:rsidRPr="009C6C67">
        <w:rPr>
          <w:rFonts w:ascii="Swis721 BT" w:hAnsi="Swis721 BT"/>
        </w:rPr>
        <w:t xml:space="preserve">. </w:t>
      </w:r>
      <w:r w:rsidR="00A9298B">
        <w:rPr>
          <w:rFonts w:ascii="Swis721 BT" w:hAnsi="Swis721 BT"/>
        </w:rPr>
        <w:t>In 2020</w:t>
      </w:r>
      <w:r w:rsidR="00D45D54">
        <w:rPr>
          <w:rFonts w:ascii="Swis721 BT" w:hAnsi="Swis721 BT"/>
        </w:rPr>
        <w:t>, the Parish Council</w:t>
      </w:r>
      <w:r w:rsidR="009C4CAE">
        <w:rPr>
          <w:rFonts w:ascii="Swis721 BT" w:hAnsi="Swis721 BT"/>
        </w:rPr>
        <w:t xml:space="preserve"> </w:t>
      </w:r>
      <w:r w:rsidR="00D45D54">
        <w:rPr>
          <w:rFonts w:ascii="Swis721 BT" w:hAnsi="Swis721 BT"/>
        </w:rPr>
        <w:t>decided</w:t>
      </w:r>
      <w:r w:rsidR="009C4CAE">
        <w:rPr>
          <w:rFonts w:ascii="Swis721 BT" w:hAnsi="Swis721 BT"/>
        </w:rPr>
        <w:t xml:space="preserve"> to pursue a review of the Neighbourhood Plan, </w:t>
      </w:r>
      <w:r w:rsidR="0025351B">
        <w:rPr>
          <w:rFonts w:ascii="Swis721 BT" w:hAnsi="Swis721 BT"/>
        </w:rPr>
        <w:t>to</w:t>
      </w:r>
      <w:r w:rsidR="009C4CAE">
        <w:rPr>
          <w:rFonts w:ascii="Swis721 BT" w:hAnsi="Swis721 BT"/>
        </w:rPr>
        <w:t xml:space="preserve"> reflect changes in the </w:t>
      </w:r>
      <w:r w:rsidR="00D45D54">
        <w:rPr>
          <w:rFonts w:ascii="Swis721 BT" w:hAnsi="Swis721 BT"/>
        </w:rPr>
        <w:t xml:space="preserve">local </w:t>
      </w:r>
      <w:r w:rsidR="001C0B53">
        <w:rPr>
          <w:rFonts w:ascii="Swis721 BT" w:hAnsi="Swis721 BT"/>
        </w:rPr>
        <w:t xml:space="preserve">context, feedback on how the Plan </w:t>
      </w:r>
      <w:proofErr w:type="gramStart"/>
      <w:r w:rsidR="001C0B53">
        <w:rPr>
          <w:rFonts w:ascii="Swis721 BT" w:hAnsi="Swis721 BT"/>
        </w:rPr>
        <w:t>was being employed</w:t>
      </w:r>
      <w:proofErr w:type="gramEnd"/>
      <w:r w:rsidR="001C0B53">
        <w:rPr>
          <w:rFonts w:ascii="Swis721 BT" w:hAnsi="Swis721 BT"/>
        </w:rPr>
        <w:t xml:space="preserve"> in practice, </w:t>
      </w:r>
      <w:r w:rsidR="00D45D54">
        <w:rPr>
          <w:rFonts w:ascii="Swis721 BT" w:hAnsi="Swis721 BT"/>
        </w:rPr>
        <w:t xml:space="preserve">and </w:t>
      </w:r>
      <w:r w:rsidR="001C0B53">
        <w:rPr>
          <w:rFonts w:ascii="Swis721 BT" w:hAnsi="Swis721 BT"/>
        </w:rPr>
        <w:t xml:space="preserve">updates to the </w:t>
      </w:r>
      <w:r w:rsidR="009C4CAE">
        <w:rPr>
          <w:rFonts w:ascii="Swis721 BT" w:hAnsi="Swis721 BT"/>
        </w:rPr>
        <w:t>legislative context, particularly the emerging Bassetlaw Local Plan</w:t>
      </w:r>
      <w:r w:rsidR="001C0B53">
        <w:rPr>
          <w:rFonts w:ascii="Swis721 BT" w:hAnsi="Swis721 BT"/>
        </w:rPr>
        <w:t xml:space="preserve">. </w:t>
      </w:r>
      <w:r w:rsidR="007E5E0D" w:rsidRPr="00A560D2">
        <w:rPr>
          <w:rFonts w:ascii="Swis721 BT" w:hAnsi="Swis721 BT"/>
        </w:rPr>
        <w:t xml:space="preserve">This statement details the </w:t>
      </w:r>
      <w:r w:rsidR="00F45730">
        <w:rPr>
          <w:rFonts w:ascii="Swis721 BT" w:hAnsi="Swis721 BT"/>
        </w:rPr>
        <w:t>extent</w:t>
      </w:r>
      <w:r w:rsidR="007E5E0D" w:rsidRPr="00A560D2">
        <w:rPr>
          <w:rFonts w:ascii="Swis721 BT" w:hAnsi="Swis721 BT"/>
        </w:rPr>
        <w:t xml:space="preserve"> of the proposed </w:t>
      </w:r>
      <w:r w:rsidR="009C4CAE">
        <w:rPr>
          <w:rFonts w:ascii="Swis721 BT" w:hAnsi="Swis721 BT"/>
        </w:rPr>
        <w:t xml:space="preserve">modifications </w:t>
      </w:r>
      <w:r w:rsidR="007E5E0D" w:rsidRPr="00A560D2">
        <w:rPr>
          <w:rFonts w:ascii="Swis721 BT" w:hAnsi="Swis721 BT"/>
        </w:rPr>
        <w:t>to</w:t>
      </w:r>
      <w:r w:rsidR="00FE35B4" w:rsidRPr="00A560D2">
        <w:rPr>
          <w:rFonts w:ascii="Swis721 BT" w:hAnsi="Swis721 BT"/>
        </w:rPr>
        <w:t xml:space="preserve"> the Plan, and the views of the </w:t>
      </w:r>
      <w:r w:rsidR="00505629">
        <w:rPr>
          <w:rFonts w:ascii="Swis721 BT" w:hAnsi="Swis721 BT"/>
        </w:rPr>
        <w:t xml:space="preserve">Qualifying Body </w:t>
      </w:r>
      <w:r w:rsidR="00FE35B4" w:rsidRPr="00A560D2">
        <w:rPr>
          <w:rFonts w:ascii="Swis721 BT" w:hAnsi="Swis721 BT"/>
        </w:rPr>
        <w:t xml:space="preserve">and District Council </w:t>
      </w:r>
      <w:r w:rsidR="007E5E0D" w:rsidRPr="00A560D2">
        <w:rPr>
          <w:rFonts w:ascii="Swis721 BT" w:hAnsi="Swis721 BT"/>
        </w:rPr>
        <w:t xml:space="preserve">on the </w:t>
      </w:r>
      <w:r w:rsidR="00F45730">
        <w:rPr>
          <w:rFonts w:ascii="Swis721 BT" w:hAnsi="Swis721 BT"/>
        </w:rPr>
        <w:t>nature</w:t>
      </w:r>
      <w:r w:rsidR="007E5E0D" w:rsidRPr="00A560D2">
        <w:rPr>
          <w:rFonts w:ascii="Swis721 BT" w:hAnsi="Swis721 BT"/>
        </w:rPr>
        <w:t xml:space="preserve"> of the changes. </w:t>
      </w:r>
    </w:p>
    <w:p w:rsidR="007A5210" w:rsidRPr="00503BA9" w:rsidRDefault="00503BA9" w:rsidP="007A5210">
      <w:pPr>
        <w:rPr>
          <w:rFonts w:ascii="Swis721 BT" w:hAnsi="Swis721 BT"/>
          <w:b/>
        </w:rPr>
      </w:pPr>
      <w:r w:rsidRPr="00503BA9">
        <w:rPr>
          <w:rFonts w:ascii="Swis721 BT" w:hAnsi="Swis721 BT"/>
          <w:b/>
        </w:rPr>
        <w:t>2</w:t>
      </w:r>
      <w:r w:rsidR="007A5210" w:rsidRPr="00503BA9">
        <w:rPr>
          <w:rFonts w:ascii="Swis721 BT" w:hAnsi="Swis721 BT"/>
          <w:b/>
        </w:rPr>
        <w:t>.</w:t>
      </w:r>
      <w:r w:rsidR="007A5210" w:rsidRPr="00503BA9">
        <w:rPr>
          <w:rFonts w:ascii="Swis721 BT" w:hAnsi="Swis721 BT"/>
          <w:b/>
        </w:rPr>
        <w:tab/>
        <w:t xml:space="preserve">Proposed Amendments </w:t>
      </w:r>
    </w:p>
    <w:p w:rsidR="007A5210" w:rsidRPr="000B1CCA" w:rsidRDefault="00503BA9" w:rsidP="00105D64">
      <w:pPr>
        <w:ind w:left="720"/>
        <w:rPr>
          <w:rFonts w:ascii="Swis721 BT" w:hAnsi="Swis721 BT"/>
        </w:rPr>
      </w:pPr>
      <w:r w:rsidRPr="00503BA9">
        <w:rPr>
          <w:rFonts w:ascii="Swis721 BT" w:hAnsi="Swis721 BT"/>
        </w:rPr>
        <w:t>T</w:t>
      </w:r>
      <w:r w:rsidR="007A5210" w:rsidRPr="00503BA9">
        <w:rPr>
          <w:rFonts w:ascii="Swis721 BT" w:hAnsi="Swis721 BT"/>
        </w:rPr>
        <w:t xml:space="preserve">he proposed amendments to the </w:t>
      </w:r>
      <w:r w:rsidR="00105D64" w:rsidRPr="00503BA9">
        <w:rPr>
          <w:rFonts w:ascii="Swis721 BT" w:hAnsi="Swis721 BT"/>
        </w:rPr>
        <w:t xml:space="preserve">existing </w:t>
      </w:r>
      <w:r w:rsidR="007A5210" w:rsidRPr="00503BA9">
        <w:rPr>
          <w:rFonts w:ascii="Swis721 BT" w:hAnsi="Swis721 BT"/>
        </w:rPr>
        <w:t xml:space="preserve">Neighbourhood Plan can be summarised </w:t>
      </w:r>
      <w:r w:rsidR="007A5210" w:rsidRPr="000B1CCA">
        <w:rPr>
          <w:rFonts w:ascii="Swis721 BT" w:hAnsi="Swis721 BT"/>
        </w:rPr>
        <w:t>as follows:</w:t>
      </w:r>
    </w:p>
    <w:p w:rsidR="00D26EAE" w:rsidRPr="000B1CCA" w:rsidRDefault="00D26EAE" w:rsidP="001C0B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wis721 BT" w:hAnsi="Swis721 BT" w:cs="Calibri"/>
        </w:rPr>
      </w:pPr>
      <w:r w:rsidRPr="000B1CCA">
        <w:rPr>
          <w:rFonts w:ascii="Swis721 BT" w:hAnsi="Swis721 BT" w:cs="Calibri"/>
        </w:rPr>
        <w:t xml:space="preserve">Reordering of content throughout the Plan, standardising the order / format </w:t>
      </w:r>
      <w:r w:rsidR="001D3A1A" w:rsidRPr="000B1CCA">
        <w:rPr>
          <w:rFonts w:ascii="Swis721 BT" w:hAnsi="Swis721 BT" w:cs="Calibri"/>
        </w:rPr>
        <w:t xml:space="preserve">in-line </w:t>
      </w:r>
      <w:r w:rsidRPr="000B1CCA">
        <w:rPr>
          <w:rFonts w:ascii="Swis721 BT" w:hAnsi="Swis721 BT" w:cs="Calibri"/>
        </w:rPr>
        <w:t xml:space="preserve">with </w:t>
      </w:r>
      <w:r w:rsidR="001D3A1A" w:rsidRPr="000B1CCA">
        <w:rPr>
          <w:rFonts w:ascii="Swis721 BT" w:hAnsi="Swis721 BT" w:cs="Calibri"/>
        </w:rPr>
        <w:t xml:space="preserve">a number of </w:t>
      </w:r>
      <w:r w:rsidRPr="000B1CCA">
        <w:rPr>
          <w:rFonts w:ascii="Swis721 BT" w:hAnsi="Swis721 BT" w:cs="Calibri"/>
        </w:rPr>
        <w:t xml:space="preserve">other Neighbourhood Plans in the District. </w:t>
      </w:r>
    </w:p>
    <w:p w:rsidR="001C0B53" w:rsidRPr="000B1CCA" w:rsidRDefault="001C0B53" w:rsidP="001C0B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wis721 BT" w:hAnsi="Swis721 BT" w:cs="Calibri"/>
        </w:rPr>
      </w:pPr>
      <w:r w:rsidRPr="000B1CCA">
        <w:rPr>
          <w:rFonts w:ascii="Swis721 BT" w:hAnsi="Swis721 BT" w:cs="Calibri"/>
        </w:rPr>
        <w:t xml:space="preserve">Inclusion of a new Design Code, providing a more comprehensive analysis of the Neighbourhood Area, and informing updates to various elements of the Plan, particularly Policy 6R (Achieving High Quality Design) and Policies 14R to 18R (Site-Specific Allocations). </w:t>
      </w:r>
    </w:p>
    <w:p w:rsidR="000B1CCA" w:rsidRPr="000B1CCA" w:rsidRDefault="000B1CCA" w:rsidP="001C0B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wis721 BT" w:hAnsi="Swis721 BT" w:cs="Calibri"/>
        </w:rPr>
      </w:pPr>
      <w:r w:rsidRPr="000B1CCA">
        <w:rPr>
          <w:rFonts w:ascii="Swis721 BT" w:hAnsi="Swis721 BT" w:cs="Calibri"/>
        </w:rPr>
        <w:t xml:space="preserve">Refinement of all site-specific housing allocations (Policies 14R to 18R) to reflect updated evidence. </w:t>
      </w:r>
    </w:p>
    <w:p w:rsidR="001C0B53" w:rsidRPr="000B1CCA" w:rsidRDefault="00F3178C" w:rsidP="001C0B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wis721 BT" w:hAnsi="Swis721 BT" w:cs="Calibri"/>
        </w:rPr>
      </w:pPr>
      <w:r w:rsidRPr="000B1CCA">
        <w:rPr>
          <w:rFonts w:ascii="Swis721 BT" w:hAnsi="Swis721 BT" w:cs="Calibri"/>
        </w:rPr>
        <w:t xml:space="preserve">Balancing the allocation of land for residential development with the </w:t>
      </w:r>
      <w:r w:rsidR="00D26EAE" w:rsidRPr="000B1CCA">
        <w:rPr>
          <w:rFonts w:ascii="Swis721 BT" w:hAnsi="Swis721 BT" w:cs="Calibri"/>
        </w:rPr>
        <w:t xml:space="preserve">protection of the natural environment, through the </w:t>
      </w:r>
      <w:r w:rsidRPr="000B1CCA">
        <w:rPr>
          <w:rFonts w:ascii="Swis721 BT" w:hAnsi="Swis721 BT" w:cs="Calibri"/>
        </w:rPr>
        <w:t>addition of new designations for Key Views and Significant Green Gaps (Policy 4R), alongside the addition of an additional Local Green Space, LGS11 (see pages 36 – 38 / Policy 5R).</w:t>
      </w:r>
    </w:p>
    <w:p w:rsidR="00F3178C" w:rsidRPr="000B1CCA" w:rsidRDefault="00F3178C" w:rsidP="00693B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wis721 BT" w:hAnsi="Swis721 BT" w:cs="Calibri"/>
        </w:rPr>
      </w:pPr>
      <w:r w:rsidRPr="000B1CCA">
        <w:rPr>
          <w:rFonts w:ascii="Swis721 BT" w:hAnsi="Swis721 BT" w:cs="Calibri"/>
        </w:rPr>
        <w:t>Addition of a new section, specifically addressing the</w:t>
      </w:r>
      <w:r w:rsidR="001C0B53" w:rsidRPr="000B1CCA">
        <w:rPr>
          <w:rFonts w:ascii="Swis721 BT" w:hAnsi="Swis721 BT" w:cs="Calibri"/>
        </w:rPr>
        <w:t xml:space="preserve"> </w:t>
      </w:r>
      <w:r w:rsidRPr="000B1CCA">
        <w:rPr>
          <w:rFonts w:ascii="Swis721 BT" w:hAnsi="Swis721 BT" w:cs="Calibri"/>
        </w:rPr>
        <w:t xml:space="preserve">potential redevelopment options for the former </w:t>
      </w:r>
      <w:r w:rsidR="001C0B53" w:rsidRPr="000B1CCA">
        <w:rPr>
          <w:rFonts w:ascii="Swis721 BT" w:hAnsi="Swis721 BT" w:cs="Calibri"/>
        </w:rPr>
        <w:t xml:space="preserve">Newell’s </w:t>
      </w:r>
      <w:r w:rsidRPr="000B1CCA">
        <w:rPr>
          <w:rFonts w:ascii="Swis721 BT" w:hAnsi="Swis721 BT" w:cs="Calibri"/>
        </w:rPr>
        <w:t>Factory S</w:t>
      </w:r>
      <w:r w:rsidR="001C0B53" w:rsidRPr="000B1CCA">
        <w:rPr>
          <w:rFonts w:ascii="Swis721 BT" w:hAnsi="Swis721 BT" w:cs="Calibri"/>
        </w:rPr>
        <w:t>ite</w:t>
      </w:r>
      <w:r w:rsidRPr="000B1CCA">
        <w:rPr>
          <w:rFonts w:ascii="Swis721 BT" w:hAnsi="Swis721 BT" w:cs="Calibri"/>
        </w:rPr>
        <w:t>, a key brownfield site in the Neighbourhood Area (pages 47 – 48 / Policy 8R)</w:t>
      </w:r>
      <w:r w:rsidR="001C0B53" w:rsidRPr="000B1CCA">
        <w:rPr>
          <w:rFonts w:ascii="Swis721 BT" w:hAnsi="Swis721 BT" w:cs="Calibri"/>
        </w:rPr>
        <w:t xml:space="preserve">. </w:t>
      </w:r>
    </w:p>
    <w:p w:rsidR="001C0B53" w:rsidRPr="000B1CCA" w:rsidRDefault="00D26EAE" w:rsidP="00693B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wis721 BT" w:hAnsi="Swis721 BT" w:cs="Calibri"/>
        </w:rPr>
      </w:pPr>
      <w:r w:rsidRPr="000B1CCA">
        <w:rPr>
          <w:rFonts w:ascii="Swis721 BT" w:hAnsi="Swis721 BT" w:cs="Calibri"/>
        </w:rPr>
        <w:t>Updated content addressing housing density and infill development (pages 16 – 20 / Policy 2R)</w:t>
      </w:r>
      <w:r w:rsidR="001D3A1A" w:rsidRPr="000B1CCA">
        <w:rPr>
          <w:rFonts w:ascii="Swis721 BT" w:hAnsi="Swis721 BT" w:cs="Calibri"/>
        </w:rPr>
        <w:t>.</w:t>
      </w:r>
    </w:p>
    <w:p w:rsidR="001D3A1A" w:rsidRPr="000B1CCA" w:rsidRDefault="001D3A1A" w:rsidP="00693B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wis721 BT" w:hAnsi="Swis721 BT" w:cs="Calibri"/>
        </w:rPr>
      </w:pPr>
      <w:r w:rsidRPr="000B1CCA">
        <w:rPr>
          <w:rFonts w:ascii="Swis721 BT" w:hAnsi="Swis721 BT" w:cs="Calibri"/>
        </w:rPr>
        <w:t>Improvement of maps throughout the Plan for clarity, including site-specific maps for each LGS (pages 31 – 37).</w:t>
      </w:r>
    </w:p>
    <w:p w:rsidR="00D26EAE" w:rsidRPr="00F3178C" w:rsidRDefault="00D26EAE" w:rsidP="00D26EA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FF0000"/>
        </w:rPr>
      </w:pPr>
    </w:p>
    <w:p w:rsidR="00105D64" w:rsidRPr="00A560D2" w:rsidRDefault="000B1CCA" w:rsidP="0025351B">
      <w:pPr>
        <w:ind w:left="720"/>
        <w:rPr>
          <w:rFonts w:ascii="Swis721 BT" w:hAnsi="Swis721 BT"/>
        </w:rPr>
      </w:pPr>
      <w:r>
        <w:rPr>
          <w:rFonts w:ascii="Swis721 BT" w:hAnsi="Swis721 BT"/>
        </w:rPr>
        <w:t>C</w:t>
      </w:r>
      <w:r w:rsidR="009C6C67" w:rsidRPr="009C6C67">
        <w:rPr>
          <w:rFonts w:ascii="Swis721 BT" w:hAnsi="Swis721 BT"/>
        </w:rPr>
        <w:t>onsequential changes</w:t>
      </w:r>
      <w:r w:rsidR="0025351B">
        <w:rPr>
          <w:rFonts w:ascii="Swis721 BT" w:hAnsi="Swis721 BT"/>
        </w:rPr>
        <w:t xml:space="preserve"> </w:t>
      </w:r>
      <w:proofErr w:type="gramStart"/>
      <w:r w:rsidR="0025351B">
        <w:rPr>
          <w:rFonts w:ascii="Swis721 BT" w:hAnsi="Swis721 BT"/>
        </w:rPr>
        <w:t>have</w:t>
      </w:r>
      <w:r w:rsidR="00DF7A07" w:rsidRPr="009C6C67">
        <w:rPr>
          <w:rFonts w:ascii="Swis721 BT" w:hAnsi="Swis721 BT"/>
        </w:rPr>
        <w:t xml:space="preserve"> also been made</w:t>
      </w:r>
      <w:proofErr w:type="gramEnd"/>
      <w:r w:rsidR="00DF7A07" w:rsidRPr="009C6C67">
        <w:rPr>
          <w:rFonts w:ascii="Swis721 BT" w:hAnsi="Swis721 BT"/>
        </w:rPr>
        <w:t xml:space="preserve"> throughout the Plan for consistency, clarity, and </w:t>
      </w:r>
      <w:r w:rsidR="000C2980">
        <w:rPr>
          <w:rFonts w:ascii="Swis721 BT" w:hAnsi="Swis721 BT"/>
        </w:rPr>
        <w:t>to ensure that references to other documents</w:t>
      </w:r>
      <w:r w:rsidR="00A9298B">
        <w:rPr>
          <w:rFonts w:ascii="Swis721 BT" w:hAnsi="Swis721 BT"/>
        </w:rPr>
        <w:t>, evidence base (Census 2021),</w:t>
      </w:r>
      <w:bookmarkStart w:id="0" w:name="_GoBack"/>
      <w:bookmarkEnd w:id="0"/>
      <w:r w:rsidR="000C2980">
        <w:rPr>
          <w:rFonts w:ascii="Swis721 BT" w:hAnsi="Swis721 BT"/>
        </w:rPr>
        <w:t xml:space="preserve"> and legislation are</w:t>
      </w:r>
      <w:r w:rsidR="00DF7A07" w:rsidRPr="009C6C67">
        <w:rPr>
          <w:rFonts w:ascii="Swis721 BT" w:hAnsi="Swis721 BT"/>
        </w:rPr>
        <w:t xml:space="preserve"> up-to-date.  </w:t>
      </w:r>
    </w:p>
    <w:p w:rsidR="00105D64" w:rsidRPr="00A560D2" w:rsidRDefault="00AD494E" w:rsidP="00105D64">
      <w:pPr>
        <w:rPr>
          <w:rFonts w:ascii="Swis721 BT" w:hAnsi="Swis721 BT"/>
          <w:b/>
        </w:rPr>
      </w:pPr>
      <w:r>
        <w:rPr>
          <w:rFonts w:ascii="Swis721 BT" w:hAnsi="Swis721 BT"/>
          <w:b/>
        </w:rPr>
        <w:t>3</w:t>
      </w:r>
      <w:r w:rsidR="00105D64" w:rsidRPr="00A560D2">
        <w:rPr>
          <w:rFonts w:ascii="Swis721 BT" w:hAnsi="Swis721 BT"/>
          <w:b/>
        </w:rPr>
        <w:t>.</w:t>
      </w:r>
      <w:r w:rsidR="00105D64" w:rsidRPr="00A560D2">
        <w:rPr>
          <w:rFonts w:ascii="Swis721 BT" w:hAnsi="Swis721 BT"/>
          <w:b/>
        </w:rPr>
        <w:tab/>
      </w:r>
      <w:r w:rsidR="0043726D" w:rsidRPr="00A560D2">
        <w:rPr>
          <w:rFonts w:ascii="Swis721 BT" w:hAnsi="Swis721 BT"/>
          <w:b/>
        </w:rPr>
        <w:t xml:space="preserve">Judgement on </w:t>
      </w:r>
      <w:r w:rsidR="00105D64" w:rsidRPr="00A560D2">
        <w:rPr>
          <w:rFonts w:ascii="Swis721 BT" w:hAnsi="Swis721 BT"/>
          <w:b/>
        </w:rPr>
        <w:t xml:space="preserve">Scope and Scale of the Review </w:t>
      </w:r>
    </w:p>
    <w:p w:rsidR="00083878" w:rsidRDefault="00083878" w:rsidP="00105D64">
      <w:pPr>
        <w:ind w:left="720"/>
        <w:rPr>
          <w:rFonts w:ascii="Swis721 BT" w:eastAsia="Arial" w:hAnsi="Swis721 BT" w:cstheme="minorHAnsi"/>
        </w:rPr>
      </w:pPr>
      <w:r w:rsidRPr="00A560D2">
        <w:rPr>
          <w:rFonts w:ascii="Swis721 BT" w:hAnsi="Swis721 BT"/>
        </w:rPr>
        <w:t>Once ‘made’, neighbourhood plans can be reviewed as required in order to correct errors, or to respond to changes in their geog</w:t>
      </w:r>
      <w:r w:rsidR="00AD646D" w:rsidRPr="00A560D2">
        <w:rPr>
          <w:rFonts w:ascii="Swis721 BT" w:hAnsi="Swis721 BT"/>
        </w:rPr>
        <w:t>raphical or legislative context</w:t>
      </w:r>
      <w:r w:rsidR="0043726D" w:rsidRPr="00A560D2">
        <w:rPr>
          <w:rFonts w:ascii="Swis721 BT" w:hAnsi="Swis721 BT"/>
        </w:rPr>
        <w:t>.</w:t>
      </w:r>
      <w:r w:rsidR="00AD646D" w:rsidRPr="00A560D2">
        <w:rPr>
          <w:rFonts w:ascii="Swis721 BT" w:hAnsi="Swis721 BT"/>
        </w:rPr>
        <w:t xml:space="preserve"> </w:t>
      </w:r>
      <w:r w:rsidRPr="00A560D2">
        <w:rPr>
          <w:rFonts w:ascii="Swis721 BT" w:eastAsia="Arial" w:hAnsi="Swis721 BT" w:cstheme="minorHAnsi"/>
        </w:rPr>
        <w:t xml:space="preserve">National </w:t>
      </w:r>
      <w:r w:rsidRPr="00A560D2">
        <w:rPr>
          <w:rFonts w:ascii="Swis721 BT" w:eastAsia="Arial" w:hAnsi="Swis721 BT" w:cstheme="minorHAnsi"/>
        </w:rPr>
        <w:lastRenderedPageBreak/>
        <w:t>Planning Policy Guidance</w:t>
      </w:r>
      <w:r w:rsidRPr="00A560D2">
        <w:rPr>
          <w:rFonts w:ascii="Swis721 BT" w:eastAsia="Arial" w:hAnsi="Swis721 BT" w:cstheme="minorHAnsi"/>
          <w:vertAlign w:val="superscript"/>
        </w:rPr>
        <w:footnoteReference w:id="1"/>
      </w:r>
      <w:r w:rsidRPr="00A560D2">
        <w:rPr>
          <w:rFonts w:ascii="Swis721 BT" w:eastAsia="Arial" w:hAnsi="Swis721 BT" w:cstheme="minorHAnsi"/>
        </w:rPr>
        <w:t xml:space="preserve"> clarifies </w:t>
      </w:r>
      <w:proofErr w:type="gramStart"/>
      <w:r w:rsidRPr="00A560D2">
        <w:rPr>
          <w:rFonts w:ascii="Swis721 BT" w:eastAsia="Arial" w:hAnsi="Swis721 BT" w:cstheme="minorHAnsi"/>
        </w:rPr>
        <w:t>that ther</w:t>
      </w:r>
      <w:r w:rsidR="0043726D" w:rsidRPr="00A560D2">
        <w:rPr>
          <w:rFonts w:ascii="Swis721 BT" w:eastAsia="Arial" w:hAnsi="Swis721 BT" w:cstheme="minorHAnsi"/>
        </w:rPr>
        <w:t>e are three classes of review</w:t>
      </w:r>
      <w:r w:rsidRPr="00A560D2">
        <w:rPr>
          <w:rFonts w:ascii="Swis721 BT" w:eastAsia="Arial" w:hAnsi="Swis721 BT" w:cstheme="minorHAnsi"/>
        </w:rPr>
        <w:t xml:space="preserve"> that can be undertaken in respect to a ‘made’ neighbourhood plan, each with its own procedure for enactment, as follows</w:t>
      </w:r>
      <w:proofErr w:type="gramEnd"/>
      <w:r w:rsidRPr="00A560D2">
        <w:rPr>
          <w:rFonts w:ascii="Swis721 BT" w:eastAsia="Arial" w:hAnsi="Swis721 BT" w:cstheme="minorHAnsi"/>
        </w:rPr>
        <w:t>:</w:t>
      </w:r>
    </w:p>
    <w:p w:rsidR="000B1CCA" w:rsidRPr="00A560D2" w:rsidRDefault="000B1CCA" w:rsidP="00105D64">
      <w:pPr>
        <w:ind w:left="720"/>
        <w:rPr>
          <w:rFonts w:ascii="Swis721 BT" w:hAnsi="Swis721 BT"/>
        </w:rPr>
      </w:pPr>
    </w:p>
    <w:tbl>
      <w:tblPr>
        <w:tblStyle w:val="TableGrid1"/>
        <w:tblpPr w:leftFromText="181" w:rightFromText="181" w:vertAnchor="text" w:horzAnchor="margin" w:tblpXSpec="right" w:tblpY="216"/>
        <w:tblW w:w="0" w:type="auto"/>
        <w:tblLook w:val="04A0" w:firstRow="1" w:lastRow="0" w:firstColumn="1" w:lastColumn="0" w:noHBand="0" w:noVBand="1"/>
        <w:tblCaption w:val="Comparison of Types of Neighbourhood Plan Review"/>
        <w:tblDescription w:val="Identifies the three different types of neighbourhood plan review, accompanied by a definition, and a brief description of how they would be enacted in practice. "/>
      </w:tblPr>
      <w:tblGrid>
        <w:gridCol w:w="2405"/>
        <w:gridCol w:w="2835"/>
        <w:gridCol w:w="3119"/>
      </w:tblGrid>
      <w:tr w:rsidR="00083878" w:rsidRPr="00A560D2" w:rsidTr="00870EAF">
        <w:trPr>
          <w:trHeight w:val="317"/>
          <w:tblHeader/>
        </w:trPr>
        <w:tc>
          <w:tcPr>
            <w:tcW w:w="2405" w:type="dxa"/>
          </w:tcPr>
          <w:p w:rsidR="00083878" w:rsidRPr="00A560D2" w:rsidRDefault="00083878" w:rsidP="00870EAF">
            <w:pPr>
              <w:tabs>
                <w:tab w:val="left" w:pos="821"/>
              </w:tabs>
              <w:spacing w:before="127"/>
              <w:ind w:right="196"/>
              <w:jc w:val="center"/>
              <w:rPr>
                <w:rFonts w:ascii="Swis721 BT" w:eastAsia="Arial" w:hAnsi="Swis721 BT" w:cstheme="minorHAnsi"/>
                <w:b/>
              </w:rPr>
            </w:pPr>
            <w:r w:rsidRPr="00A560D2">
              <w:rPr>
                <w:rFonts w:ascii="Swis721 BT" w:eastAsia="Arial" w:hAnsi="Swis721 BT" w:cstheme="minorHAnsi"/>
                <w:b/>
              </w:rPr>
              <w:t>Typology</w:t>
            </w:r>
          </w:p>
        </w:tc>
        <w:tc>
          <w:tcPr>
            <w:tcW w:w="2835" w:type="dxa"/>
          </w:tcPr>
          <w:p w:rsidR="00083878" w:rsidRPr="00A560D2" w:rsidRDefault="00083878" w:rsidP="00870EAF">
            <w:pPr>
              <w:tabs>
                <w:tab w:val="left" w:pos="821"/>
              </w:tabs>
              <w:spacing w:before="127"/>
              <w:ind w:right="196"/>
              <w:jc w:val="center"/>
              <w:rPr>
                <w:rFonts w:ascii="Swis721 BT" w:eastAsia="Arial" w:hAnsi="Swis721 BT" w:cstheme="minorHAnsi"/>
                <w:b/>
              </w:rPr>
            </w:pPr>
            <w:r w:rsidRPr="00A560D2">
              <w:rPr>
                <w:rFonts w:ascii="Swis721 BT" w:eastAsia="Arial" w:hAnsi="Swis721 BT" w:cstheme="minorHAnsi"/>
                <w:b/>
              </w:rPr>
              <w:t>Definition</w:t>
            </w:r>
          </w:p>
        </w:tc>
        <w:tc>
          <w:tcPr>
            <w:tcW w:w="3119" w:type="dxa"/>
          </w:tcPr>
          <w:p w:rsidR="00083878" w:rsidRPr="00A560D2" w:rsidRDefault="00AD646D" w:rsidP="00870EAF">
            <w:pPr>
              <w:tabs>
                <w:tab w:val="left" w:pos="821"/>
              </w:tabs>
              <w:spacing w:before="127"/>
              <w:ind w:right="196"/>
              <w:jc w:val="center"/>
              <w:rPr>
                <w:rFonts w:ascii="Swis721 BT" w:eastAsia="Arial" w:hAnsi="Swis721 BT" w:cstheme="minorHAnsi"/>
                <w:b/>
              </w:rPr>
            </w:pPr>
            <w:r w:rsidRPr="00A560D2">
              <w:rPr>
                <w:rFonts w:ascii="Swis721 BT" w:eastAsia="Arial" w:hAnsi="Swis721 BT" w:cstheme="minorHAnsi"/>
                <w:b/>
              </w:rPr>
              <w:t>Procedure</w:t>
            </w:r>
          </w:p>
        </w:tc>
      </w:tr>
      <w:tr w:rsidR="00083878" w:rsidRPr="00A560D2" w:rsidTr="00870EAF">
        <w:trPr>
          <w:trHeight w:val="317"/>
        </w:trPr>
        <w:tc>
          <w:tcPr>
            <w:tcW w:w="2405" w:type="dxa"/>
          </w:tcPr>
          <w:p w:rsidR="00083878" w:rsidRPr="00A560D2" w:rsidRDefault="00083878" w:rsidP="00870EAF">
            <w:pPr>
              <w:tabs>
                <w:tab w:val="left" w:pos="821"/>
              </w:tabs>
              <w:spacing w:before="127"/>
              <w:ind w:right="196"/>
              <w:rPr>
                <w:rFonts w:ascii="Swis721 BT" w:eastAsia="Arial" w:hAnsi="Swis721 BT" w:cstheme="minorHAnsi"/>
              </w:rPr>
            </w:pPr>
            <w:r w:rsidRPr="00A560D2">
              <w:rPr>
                <w:rFonts w:ascii="Swis721 BT" w:eastAsia="Arial" w:hAnsi="Swis721 BT" w:cstheme="minorHAnsi"/>
              </w:rPr>
              <w:t>Non-material amendment</w:t>
            </w:r>
          </w:p>
        </w:tc>
        <w:tc>
          <w:tcPr>
            <w:tcW w:w="2835" w:type="dxa"/>
          </w:tcPr>
          <w:p w:rsidR="00083878" w:rsidRPr="00A560D2" w:rsidRDefault="00083878" w:rsidP="00870EAF">
            <w:pPr>
              <w:tabs>
                <w:tab w:val="left" w:pos="821"/>
              </w:tabs>
              <w:spacing w:before="127"/>
              <w:ind w:right="196"/>
              <w:rPr>
                <w:rFonts w:ascii="Swis721 BT" w:eastAsia="Arial" w:hAnsi="Swis721 BT" w:cstheme="minorHAnsi"/>
              </w:rPr>
            </w:pPr>
            <w:r w:rsidRPr="00A560D2">
              <w:rPr>
                <w:rFonts w:ascii="Swis721 BT" w:eastAsia="Arial" w:hAnsi="Swis721 BT" w:cstheme="minorHAnsi"/>
              </w:rPr>
              <w:t>Correcting a minor error that will not materially change the way that a ‘made’ neighbourhood plan functions.</w:t>
            </w:r>
          </w:p>
        </w:tc>
        <w:tc>
          <w:tcPr>
            <w:tcW w:w="3119" w:type="dxa"/>
          </w:tcPr>
          <w:p w:rsidR="00083878" w:rsidRPr="00A560D2" w:rsidRDefault="00AD646D" w:rsidP="00870EAF">
            <w:pPr>
              <w:tabs>
                <w:tab w:val="left" w:pos="821"/>
              </w:tabs>
              <w:spacing w:before="127"/>
              <w:ind w:right="196"/>
              <w:rPr>
                <w:rFonts w:ascii="Swis721 BT" w:eastAsia="Arial" w:hAnsi="Swis721 BT" w:cstheme="minorHAnsi"/>
              </w:rPr>
            </w:pPr>
            <w:r w:rsidRPr="00A560D2">
              <w:rPr>
                <w:rFonts w:ascii="Swis721 BT" w:eastAsia="Arial" w:hAnsi="Swis721 BT" w:cstheme="minorHAnsi"/>
              </w:rPr>
              <w:t>The c</w:t>
            </w:r>
            <w:r w:rsidR="00083878" w:rsidRPr="00A560D2">
              <w:rPr>
                <w:rFonts w:ascii="Swis721 BT" w:eastAsia="Arial" w:hAnsi="Swis721 BT" w:cstheme="minorHAnsi"/>
              </w:rPr>
              <w:t xml:space="preserve">hanges </w:t>
            </w:r>
            <w:proofErr w:type="gramStart"/>
            <w:r w:rsidR="009C4CAE">
              <w:rPr>
                <w:rFonts w:ascii="Swis721 BT" w:eastAsia="Arial" w:hAnsi="Swis721 BT" w:cstheme="minorHAnsi"/>
              </w:rPr>
              <w:t>can be made</w:t>
            </w:r>
            <w:proofErr w:type="gramEnd"/>
            <w:r w:rsidR="009C4CAE">
              <w:rPr>
                <w:rFonts w:ascii="Swis721 BT" w:eastAsia="Arial" w:hAnsi="Swis721 BT" w:cstheme="minorHAnsi"/>
              </w:rPr>
              <w:t xml:space="preserve"> to the p</w:t>
            </w:r>
            <w:r w:rsidRPr="00A560D2">
              <w:rPr>
                <w:rFonts w:ascii="Swis721 BT" w:eastAsia="Arial" w:hAnsi="Swis721 BT" w:cstheme="minorHAnsi"/>
              </w:rPr>
              <w:t>lan, subject to</w:t>
            </w:r>
            <w:r w:rsidR="00083878" w:rsidRPr="00A560D2">
              <w:rPr>
                <w:rFonts w:ascii="Swis721 BT" w:eastAsia="Arial" w:hAnsi="Swis721 BT" w:cstheme="minorHAnsi"/>
              </w:rPr>
              <w:t xml:space="preserve"> the approval of both the qualifying body (e.g. parish council) and BDC Full Council. </w:t>
            </w:r>
          </w:p>
        </w:tc>
      </w:tr>
      <w:tr w:rsidR="00083878" w:rsidRPr="00A560D2" w:rsidTr="00870EAF">
        <w:trPr>
          <w:trHeight w:val="317"/>
        </w:trPr>
        <w:tc>
          <w:tcPr>
            <w:tcW w:w="2405" w:type="dxa"/>
          </w:tcPr>
          <w:p w:rsidR="00083878" w:rsidRPr="00A560D2" w:rsidRDefault="00083878" w:rsidP="00870EAF">
            <w:pPr>
              <w:tabs>
                <w:tab w:val="left" w:pos="821"/>
              </w:tabs>
              <w:spacing w:before="127"/>
              <w:ind w:right="196"/>
              <w:rPr>
                <w:rFonts w:ascii="Swis721 BT" w:eastAsia="Arial" w:hAnsi="Swis721 BT" w:cstheme="minorHAnsi"/>
              </w:rPr>
            </w:pPr>
            <w:r w:rsidRPr="00A560D2">
              <w:rPr>
                <w:rFonts w:ascii="Swis721 BT" w:eastAsia="Arial" w:hAnsi="Swis721 BT" w:cstheme="minorHAnsi"/>
              </w:rPr>
              <w:t>Minor material amendment</w:t>
            </w:r>
          </w:p>
        </w:tc>
        <w:tc>
          <w:tcPr>
            <w:tcW w:w="2835" w:type="dxa"/>
          </w:tcPr>
          <w:p w:rsidR="00083878" w:rsidRPr="00A560D2" w:rsidRDefault="00083878" w:rsidP="00870EAF">
            <w:pPr>
              <w:tabs>
                <w:tab w:val="left" w:pos="821"/>
              </w:tabs>
              <w:spacing w:before="127"/>
              <w:ind w:right="196"/>
              <w:rPr>
                <w:rFonts w:ascii="Swis721 BT" w:eastAsia="Arial" w:hAnsi="Swis721 BT" w:cstheme="minorHAnsi"/>
              </w:rPr>
            </w:pPr>
            <w:r w:rsidRPr="00A560D2">
              <w:rPr>
                <w:rFonts w:ascii="Swis721 BT" w:eastAsia="Arial" w:hAnsi="Swis721 BT" w:cstheme="minorHAnsi"/>
              </w:rPr>
              <w:t>Making small-scale changes that may have a material impact on the way that a ‘made’ neighbourhood plan functions. The decision as to whether the changes alter the nature of the plan will be determined by the examiner.</w:t>
            </w:r>
          </w:p>
        </w:tc>
        <w:tc>
          <w:tcPr>
            <w:tcW w:w="3119" w:type="dxa"/>
          </w:tcPr>
          <w:p w:rsidR="00083878" w:rsidRPr="00A560D2" w:rsidRDefault="00083878" w:rsidP="00870EAF">
            <w:pPr>
              <w:tabs>
                <w:tab w:val="left" w:pos="821"/>
              </w:tabs>
              <w:spacing w:before="127"/>
              <w:ind w:right="196"/>
              <w:rPr>
                <w:rFonts w:ascii="Swis721 BT" w:eastAsia="Arial" w:hAnsi="Swis721 BT" w:cstheme="minorHAnsi"/>
              </w:rPr>
            </w:pPr>
            <w:r w:rsidRPr="00A560D2">
              <w:rPr>
                <w:rFonts w:ascii="Swis721 BT" w:eastAsia="Arial" w:hAnsi="Swis721 BT" w:cstheme="minorHAnsi"/>
              </w:rPr>
              <w:t>As above, but the modified plan should be subject to public / statutory consultation (</w:t>
            </w:r>
            <w:proofErr w:type="spellStart"/>
            <w:r w:rsidRPr="00A560D2">
              <w:rPr>
                <w:rFonts w:ascii="Swis721 BT" w:eastAsia="Arial" w:hAnsi="Swis721 BT" w:cstheme="minorHAnsi"/>
              </w:rPr>
              <w:t>Reg</w:t>
            </w:r>
            <w:proofErr w:type="spellEnd"/>
            <w:r w:rsidRPr="00A560D2">
              <w:rPr>
                <w:rFonts w:ascii="Swis721 BT" w:eastAsia="Arial" w:hAnsi="Swis721 BT" w:cstheme="minorHAnsi"/>
              </w:rPr>
              <w:t xml:space="preserve"> 14 and </w:t>
            </w:r>
            <w:proofErr w:type="spellStart"/>
            <w:r w:rsidRPr="00A560D2">
              <w:rPr>
                <w:rFonts w:ascii="Swis721 BT" w:eastAsia="Arial" w:hAnsi="Swis721 BT" w:cstheme="minorHAnsi"/>
              </w:rPr>
              <w:t>Reg</w:t>
            </w:r>
            <w:proofErr w:type="spellEnd"/>
            <w:r w:rsidRPr="00A560D2">
              <w:rPr>
                <w:rFonts w:ascii="Swis721 BT" w:eastAsia="Arial" w:hAnsi="Swis721 BT" w:cstheme="minorHAnsi"/>
              </w:rPr>
              <w:t xml:space="preserve"> 16), and independent examination, before se</w:t>
            </w:r>
            <w:r w:rsidR="000B1CCA">
              <w:rPr>
                <w:rFonts w:ascii="Swis721 BT" w:eastAsia="Arial" w:hAnsi="Swis721 BT" w:cstheme="minorHAnsi"/>
              </w:rPr>
              <w:t xml:space="preserve">eking BDC Full Council approval to adopt. </w:t>
            </w:r>
          </w:p>
          <w:p w:rsidR="00083878" w:rsidRPr="00A560D2" w:rsidRDefault="00083878" w:rsidP="00870EAF">
            <w:pPr>
              <w:tabs>
                <w:tab w:val="left" w:pos="821"/>
              </w:tabs>
              <w:spacing w:before="127"/>
              <w:ind w:right="196"/>
              <w:rPr>
                <w:rFonts w:ascii="Swis721 BT" w:eastAsia="Arial" w:hAnsi="Swis721 BT" w:cstheme="minorHAnsi"/>
              </w:rPr>
            </w:pPr>
          </w:p>
          <w:p w:rsidR="00083878" w:rsidRPr="00A560D2" w:rsidRDefault="00083878" w:rsidP="00870EAF">
            <w:pPr>
              <w:tabs>
                <w:tab w:val="left" w:pos="821"/>
              </w:tabs>
              <w:spacing w:before="127"/>
              <w:ind w:right="196"/>
              <w:rPr>
                <w:rFonts w:ascii="Swis721 BT" w:eastAsia="Arial" w:hAnsi="Swis721 BT" w:cstheme="minorHAnsi"/>
              </w:rPr>
            </w:pPr>
          </w:p>
        </w:tc>
      </w:tr>
      <w:tr w:rsidR="00083878" w:rsidRPr="00A560D2" w:rsidTr="000B1CCA">
        <w:trPr>
          <w:trHeight w:val="1920"/>
        </w:trPr>
        <w:tc>
          <w:tcPr>
            <w:tcW w:w="2405" w:type="dxa"/>
          </w:tcPr>
          <w:p w:rsidR="00083878" w:rsidRPr="00A560D2" w:rsidRDefault="00083878" w:rsidP="00870EAF">
            <w:pPr>
              <w:tabs>
                <w:tab w:val="left" w:pos="821"/>
              </w:tabs>
              <w:spacing w:before="127"/>
              <w:ind w:right="196"/>
              <w:rPr>
                <w:rFonts w:ascii="Swis721 BT" w:eastAsia="Arial" w:hAnsi="Swis721 BT" w:cstheme="minorHAnsi"/>
              </w:rPr>
            </w:pPr>
            <w:r w:rsidRPr="00A560D2">
              <w:rPr>
                <w:rFonts w:ascii="Swis721 BT" w:eastAsia="Arial" w:hAnsi="Swis721 BT" w:cstheme="minorHAnsi"/>
              </w:rPr>
              <w:t>Significant material amendment</w:t>
            </w:r>
          </w:p>
        </w:tc>
        <w:tc>
          <w:tcPr>
            <w:tcW w:w="2835" w:type="dxa"/>
          </w:tcPr>
          <w:p w:rsidR="00083878" w:rsidRPr="00A560D2" w:rsidRDefault="00083878" w:rsidP="00870EAF">
            <w:pPr>
              <w:tabs>
                <w:tab w:val="left" w:pos="821"/>
              </w:tabs>
              <w:spacing w:before="127"/>
              <w:ind w:right="196"/>
              <w:rPr>
                <w:rFonts w:ascii="Swis721 BT" w:eastAsia="Arial" w:hAnsi="Swis721 BT" w:cstheme="minorHAnsi"/>
              </w:rPr>
            </w:pPr>
            <w:r w:rsidRPr="00A560D2">
              <w:rPr>
                <w:rFonts w:ascii="Swis721 BT" w:eastAsia="Arial" w:hAnsi="Swis721 BT" w:cstheme="minorHAnsi"/>
              </w:rPr>
              <w:t xml:space="preserve">Making more substantial changes that will materially alter the way that a ‘made’ neighbourhood plan functions. </w:t>
            </w:r>
          </w:p>
        </w:tc>
        <w:tc>
          <w:tcPr>
            <w:tcW w:w="3119" w:type="dxa"/>
          </w:tcPr>
          <w:p w:rsidR="00083878" w:rsidRPr="00A560D2" w:rsidRDefault="00083878" w:rsidP="00870EAF">
            <w:pPr>
              <w:tabs>
                <w:tab w:val="left" w:pos="821"/>
              </w:tabs>
              <w:spacing w:before="127"/>
              <w:ind w:right="196"/>
              <w:rPr>
                <w:rFonts w:ascii="Swis721 BT" w:eastAsia="Arial" w:hAnsi="Swis721 BT" w:cstheme="minorHAnsi"/>
              </w:rPr>
            </w:pPr>
            <w:r w:rsidRPr="00A560D2">
              <w:rPr>
                <w:rFonts w:ascii="Swis721 BT" w:eastAsia="Arial" w:hAnsi="Swis721 BT" w:cstheme="minorHAnsi"/>
              </w:rPr>
              <w:t>As above, but a public referendum will be required subsequent to BDC Full Council approval</w:t>
            </w:r>
            <w:r w:rsidR="009C4CAE">
              <w:rPr>
                <w:rFonts w:ascii="Swis721 BT" w:eastAsia="Arial" w:hAnsi="Swis721 BT" w:cstheme="minorHAnsi"/>
              </w:rPr>
              <w:t xml:space="preserve"> in order to ‘make’</w:t>
            </w:r>
            <w:r w:rsidR="000B1CCA">
              <w:rPr>
                <w:rFonts w:ascii="Swis721 BT" w:eastAsia="Arial" w:hAnsi="Swis721 BT" w:cstheme="minorHAnsi"/>
              </w:rPr>
              <w:t xml:space="preserve"> / adopt</w:t>
            </w:r>
            <w:r w:rsidR="009C4CAE">
              <w:rPr>
                <w:rFonts w:ascii="Swis721 BT" w:eastAsia="Arial" w:hAnsi="Swis721 BT" w:cstheme="minorHAnsi"/>
              </w:rPr>
              <w:t xml:space="preserve"> the plan.</w:t>
            </w:r>
          </w:p>
        </w:tc>
      </w:tr>
    </w:tbl>
    <w:p w:rsidR="007E5E0D" w:rsidRPr="00A560D2" w:rsidRDefault="007E5E0D" w:rsidP="007A5210">
      <w:pPr>
        <w:rPr>
          <w:rFonts w:ascii="Swis721 BT" w:hAnsi="Swis721 BT"/>
        </w:rPr>
      </w:pPr>
    </w:p>
    <w:p w:rsidR="00870EAF" w:rsidRDefault="00870EAF" w:rsidP="0043726D">
      <w:pPr>
        <w:ind w:left="720"/>
        <w:rPr>
          <w:rFonts w:ascii="Swis721 BT" w:hAnsi="Swis721 BT"/>
        </w:rPr>
      </w:pPr>
    </w:p>
    <w:p w:rsidR="009C4CAE" w:rsidRPr="00AD494E" w:rsidRDefault="009C4CAE" w:rsidP="0043726D">
      <w:pPr>
        <w:ind w:left="720"/>
        <w:rPr>
          <w:rFonts w:ascii="Swis721 BT" w:hAnsi="Swis721 BT"/>
        </w:rPr>
      </w:pPr>
      <w:r w:rsidRPr="00AD494E">
        <w:rPr>
          <w:rFonts w:ascii="Swis721 BT" w:hAnsi="Swis721 BT"/>
        </w:rPr>
        <w:t>With reference to the table above, both the Qualifying Body and the District Council are of the view that the proposed changes constitute a significant material amendment</w:t>
      </w:r>
      <w:r w:rsidR="00644B0F" w:rsidRPr="00AD494E">
        <w:rPr>
          <w:rFonts w:ascii="Swis721 BT" w:hAnsi="Swis721 BT"/>
        </w:rPr>
        <w:t xml:space="preserve"> to the Plan</w:t>
      </w:r>
      <w:r w:rsidRPr="00AD494E">
        <w:rPr>
          <w:rFonts w:ascii="Swis721 BT" w:hAnsi="Swis721 BT"/>
        </w:rPr>
        <w:t xml:space="preserve">, but acknowledge that it is for the Independent Examiner to make a definitive judgement. </w:t>
      </w:r>
    </w:p>
    <w:p w:rsidR="004E5951" w:rsidRPr="00A560D2" w:rsidRDefault="004E5951" w:rsidP="0043726D">
      <w:pPr>
        <w:ind w:left="720"/>
        <w:rPr>
          <w:rFonts w:ascii="Swis721 BT" w:hAnsi="Swis721 BT"/>
        </w:rPr>
      </w:pPr>
      <w:r w:rsidRPr="00A560D2">
        <w:rPr>
          <w:rFonts w:ascii="Swis721 BT" w:hAnsi="Swis721 BT"/>
        </w:rPr>
        <w:t>In accordance with this judgement, the amendments to the Plan have been subject to public consultation in accordance with Regulation 1</w:t>
      </w:r>
      <w:r w:rsidR="0043726D" w:rsidRPr="00A560D2">
        <w:rPr>
          <w:rFonts w:ascii="Swis721 BT" w:hAnsi="Swis721 BT"/>
        </w:rPr>
        <w:t>4 of the Neighbourhood Planning (General) Regulations 2012 (as amended).</w:t>
      </w:r>
      <w:r w:rsidR="00503BA9">
        <w:rPr>
          <w:rFonts w:ascii="Swis721 BT" w:hAnsi="Swis721 BT"/>
        </w:rPr>
        <w:t xml:space="preserve"> Consultation in accordance with Regulation 16 of the same regulation is due to commence imminently, followed by independent examination. </w:t>
      </w:r>
    </w:p>
    <w:p w:rsidR="00BF503D" w:rsidRDefault="00BF503D" w:rsidP="0043726D">
      <w:pPr>
        <w:ind w:left="720"/>
        <w:rPr>
          <w:rFonts w:ascii="Swis721 BT" w:hAnsi="Swis721 BT"/>
        </w:rPr>
      </w:pPr>
    </w:p>
    <w:p w:rsidR="000B1CCA" w:rsidRDefault="000B1CCA" w:rsidP="0043726D">
      <w:pPr>
        <w:ind w:left="720"/>
        <w:rPr>
          <w:rFonts w:ascii="Swis721 BT" w:hAnsi="Swis721 BT"/>
        </w:rPr>
      </w:pPr>
    </w:p>
    <w:p w:rsidR="000B1CCA" w:rsidRDefault="000B1CCA" w:rsidP="0043726D">
      <w:pPr>
        <w:ind w:left="720"/>
        <w:rPr>
          <w:rFonts w:ascii="Swis721 BT" w:hAnsi="Swis721 BT"/>
        </w:rPr>
      </w:pPr>
    </w:p>
    <w:p w:rsidR="00F45730" w:rsidRPr="00AD494E" w:rsidRDefault="00D45D54" w:rsidP="0043726D">
      <w:pPr>
        <w:ind w:left="720"/>
        <w:rPr>
          <w:rFonts w:ascii="Swis721 BT" w:hAnsi="Swis721 BT"/>
          <w:b/>
        </w:rPr>
      </w:pPr>
      <w:r>
        <w:rPr>
          <w:rFonts w:ascii="Swis721 BT" w:hAnsi="Swis721 BT"/>
          <w:b/>
        </w:rPr>
        <w:lastRenderedPageBreak/>
        <w:t>Misterton</w:t>
      </w:r>
      <w:r w:rsidR="00AD494E" w:rsidRPr="00AD494E">
        <w:rPr>
          <w:rFonts w:ascii="Swis721 BT" w:hAnsi="Swis721 BT"/>
          <w:b/>
        </w:rPr>
        <w:t xml:space="preserve"> Parish Council</w:t>
      </w:r>
      <w:r w:rsidR="00AD494E">
        <w:rPr>
          <w:rFonts w:ascii="Swis721 BT" w:hAnsi="Swis721 BT"/>
          <w:b/>
        </w:rPr>
        <w:t>,</w:t>
      </w:r>
      <w:r w:rsidR="00AD494E" w:rsidRPr="00AD494E">
        <w:rPr>
          <w:rFonts w:ascii="Swis721 BT" w:hAnsi="Swis721 BT"/>
        </w:rPr>
        <w:t xml:space="preserve"> Qualifying Body for the Neighbourhood Area</w:t>
      </w:r>
    </w:p>
    <w:p w:rsidR="00F45730" w:rsidRDefault="00E80A0D" w:rsidP="00870EAF">
      <w:pPr>
        <w:ind w:left="720"/>
        <w:rPr>
          <w:rFonts w:ascii="Swis721 BT" w:eastAsia="Times New Roman" w:hAnsi="Swis721 BT"/>
        </w:rPr>
      </w:pPr>
      <w:r w:rsidRPr="00AD494E">
        <w:rPr>
          <w:rFonts w:ascii="Swis721 BT" w:hAnsi="Swis721 BT"/>
        </w:rPr>
        <w:t xml:space="preserve">E: </w:t>
      </w:r>
      <w:hyperlink r:id="rId8" w:history="1">
        <w:r w:rsidR="00D45D54" w:rsidRPr="003963AC">
          <w:rPr>
            <w:rStyle w:val="Hyperlink"/>
            <w:rFonts w:ascii="Swis721 BT" w:eastAsia="Times New Roman" w:hAnsi="Swis721 BT"/>
          </w:rPr>
          <w:t>theclerk@misterton-notts-pc.gov.uk</w:t>
        </w:r>
      </w:hyperlink>
      <w:r w:rsidR="00D45D54">
        <w:rPr>
          <w:rFonts w:ascii="Swis721 BT" w:eastAsia="Times New Roman" w:hAnsi="Swis721 BT"/>
        </w:rPr>
        <w:t xml:space="preserve"> </w:t>
      </w:r>
    </w:p>
    <w:p w:rsidR="00AD494E" w:rsidRPr="00AD494E" w:rsidRDefault="00AD494E" w:rsidP="00870EAF">
      <w:pPr>
        <w:ind w:left="720"/>
        <w:rPr>
          <w:rFonts w:ascii="Swis721 BT" w:hAnsi="Swis721 BT"/>
          <w:color w:val="FF0000"/>
        </w:rPr>
      </w:pPr>
    </w:p>
    <w:p w:rsidR="00F45730" w:rsidRDefault="00F45730" w:rsidP="0043726D">
      <w:pPr>
        <w:ind w:left="720"/>
        <w:rPr>
          <w:rFonts w:ascii="Swis721 BT" w:hAnsi="Swis721 BT"/>
        </w:rPr>
      </w:pPr>
      <w:r w:rsidRPr="00F45730">
        <w:rPr>
          <w:rFonts w:ascii="Swis721 BT" w:hAnsi="Swis721 BT"/>
          <w:b/>
        </w:rPr>
        <w:t>Will Wilson</w:t>
      </w:r>
      <w:r>
        <w:rPr>
          <w:rFonts w:ascii="Swis721 BT" w:hAnsi="Swis721 BT"/>
        </w:rPr>
        <w:t xml:space="preserve">, Lead Neighbourhood Planner, Bassetlaw District Council </w:t>
      </w:r>
    </w:p>
    <w:p w:rsidR="00F45730" w:rsidRDefault="00F45730" w:rsidP="0043726D">
      <w:pPr>
        <w:ind w:left="720"/>
        <w:rPr>
          <w:rFonts w:ascii="Swis721 BT" w:hAnsi="Swis721 BT"/>
        </w:rPr>
      </w:pPr>
      <w:r>
        <w:rPr>
          <w:rFonts w:ascii="Swis721 BT" w:hAnsi="Swis721 BT"/>
        </w:rPr>
        <w:t xml:space="preserve">E: </w:t>
      </w:r>
      <w:hyperlink r:id="rId9" w:history="1">
        <w:r w:rsidRPr="00272CD2">
          <w:rPr>
            <w:rStyle w:val="Hyperlink"/>
            <w:rFonts w:ascii="Swis721 BT" w:hAnsi="Swis721 BT"/>
          </w:rPr>
          <w:t>will.wilson@bassetlaw.gov.uk</w:t>
        </w:r>
      </w:hyperlink>
      <w:r>
        <w:rPr>
          <w:rFonts w:ascii="Swis721 BT" w:hAnsi="Swis721 BT"/>
        </w:rPr>
        <w:t xml:space="preserve"> </w:t>
      </w:r>
    </w:p>
    <w:p w:rsidR="00F45730" w:rsidRPr="00A560D2" w:rsidRDefault="00F45730" w:rsidP="0043726D">
      <w:pPr>
        <w:ind w:left="720"/>
        <w:rPr>
          <w:rFonts w:ascii="Swis721 BT" w:hAnsi="Swis721 BT"/>
        </w:rPr>
      </w:pPr>
      <w:r>
        <w:rPr>
          <w:rFonts w:ascii="Swis721 BT" w:hAnsi="Swis721 BT"/>
        </w:rPr>
        <w:t>T: 01909 533 495</w:t>
      </w:r>
    </w:p>
    <w:sectPr w:rsidR="00F45730" w:rsidRPr="00A56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686" w:rsidRDefault="00073686" w:rsidP="00083878">
      <w:pPr>
        <w:spacing w:after="0" w:line="240" w:lineRule="auto"/>
      </w:pPr>
      <w:r>
        <w:separator/>
      </w:r>
    </w:p>
  </w:endnote>
  <w:endnote w:type="continuationSeparator" w:id="0">
    <w:p w:rsidR="00073686" w:rsidRDefault="00073686" w:rsidP="0008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686" w:rsidRDefault="00073686" w:rsidP="00083878">
      <w:pPr>
        <w:spacing w:after="0" w:line="240" w:lineRule="auto"/>
      </w:pPr>
      <w:r>
        <w:separator/>
      </w:r>
    </w:p>
  </w:footnote>
  <w:footnote w:type="continuationSeparator" w:id="0">
    <w:p w:rsidR="00073686" w:rsidRDefault="00073686" w:rsidP="00083878">
      <w:pPr>
        <w:spacing w:after="0" w:line="240" w:lineRule="auto"/>
      </w:pPr>
      <w:r>
        <w:continuationSeparator/>
      </w:r>
    </w:p>
  </w:footnote>
  <w:footnote w:id="1">
    <w:p w:rsidR="00083878" w:rsidRDefault="00083878" w:rsidP="000838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anchor="updating-neighbourhood-plan" w:history="1">
        <w:r>
          <w:rPr>
            <w:rStyle w:val="Hyperlink"/>
          </w:rPr>
          <w:t>https://www.gov.uk/guidance/neighbourhood-planning--2#updating-neighbourhood-plan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F27"/>
    <w:multiLevelType w:val="hybridMultilevel"/>
    <w:tmpl w:val="70784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6364C3"/>
    <w:multiLevelType w:val="hybridMultilevel"/>
    <w:tmpl w:val="C50A8FFE"/>
    <w:lvl w:ilvl="0" w:tplc="1332C910">
      <w:numFmt w:val="bullet"/>
      <w:lvlText w:val="•"/>
      <w:lvlJc w:val="left"/>
      <w:pPr>
        <w:ind w:left="1440" w:hanging="720"/>
      </w:pPr>
      <w:rPr>
        <w:rFonts w:ascii="Swis721 BT" w:eastAsiaTheme="minorHAnsi" w:hAnsi="Swis721 BT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410252"/>
    <w:multiLevelType w:val="multilevel"/>
    <w:tmpl w:val="B1FC9EDA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1377" w:hanging="569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145" w:hanging="569"/>
      </w:pPr>
      <w:rPr>
        <w:rFonts w:hint="default"/>
      </w:rPr>
    </w:lvl>
    <w:lvl w:ilvl="4">
      <w:numFmt w:val="bullet"/>
      <w:lvlText w:val="•"/>
      <w:lvlJc w:val="left"/>
      <w:pPr>
        <w:ind w:left="4028" w:hanging="569"/>
      </w:pPr>
      <w:rPr>
        <w:rFonts w:hint="default"/>
      </w:rPr>
    </w:lvl>
    <w:lvl w:ilvl="5">
      <w:numFmt w:val="bullet"/>
      <w:lvlText w:val="•"/>
      <w:lvlJc w:val="left"/>
      <w:pPr>
        <w:ind w:left="4911" w:hanging="569"/>
      </w:pPr>
      <w:rPr>
        <w:rFonts w:hint="default"/>
      </w:rPr>
    </w:lvl>
    <w:lvl w:ilvl="6">
      <w:numFmt w:val="bullet"/>
      <w:lvlText w:val="•"/>
      <w:lvlJc w:val="left"/>
      <w:pPr>
        <w:ind w:left="5794" w:hanging="569"/>
      </w:pPr>
      <w:rPr>
        <w:rFonts w:hint="default"/>
      </w:rPr>
    </w:lvl>
    <w:lvl w:ilvl="7">
      <w:numFmt w:val="bullet"/>
      <w:lvlText w:val="•"/>
      <w:lvlJc w:val="left"/>
      <w:pPr>
        <w:ind w:left="6677" w:hanging="569"/>
      </w:pPr>
      <w:rPr>
        <w:rFonts w:hint="default"/>
      </w:rPr>
    </w:lvl>
    <w:lvl w:ilvl="8">
      <w:numFmt w:val="bullet"/>
      <w:lvlText w:val="•"/>
      <w:lvlJc w:val="left"/>
      <w:pPr>
        <w:ind w:left="7560" w:hanging="56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C7"/>
    <w:rsid w:val="00073686"/>
    <w:rsid w:val="00083878"/>
    <w:rsid w:val="00092215"/>
    <w:rsid w:val="000B1CCA"/>
    <w:rsid w:val="000C2980"/>
    <w:rsid w:val="000D548E"/>
    <w:rsid w:val="00105D64"/>
    <w:rsid w:val="00114CFA"/>
    <w:rsid w:val="001C0B53"/>
    <w:rsid w:val="001D3A1A"/>
    <w:rsid w:val="00205070"/>
    <w:rsid w:val="0025351B"/>
    <w:rsid w:val="00264378"/>
    <w:rsid w:val="003609C7"/>
    <w:rsid w:val="003837A2"/>
    <w:rsid w:val="00423086"/>
    <w:rsid w:val="0043726D"/>
    <w:rsid w:val="00437311"/>
    <w:rsid w:val="00481BDA"/>
    <w:rsid w:val="004E5951"/>
    <w:rsid w:val="0050146F"/>
    <w:rsid w:val="00503BA9"/>
    <w:rsid w:val="00505629"/>
    <w:rsid w:val="00520B8D"/>
    <w:rsid w:val="00535ED4"/>
    <w:rsid w:val="00557EBE"/>
    <w:rsid w:val="005C2EDD"/>
    <w:rsid w:val="00633010"/>
    <w:rsid w:val="00644B0F"/>
    <w:rsid w:val="006B3588"/>
    <w:rsid w:val="0079367E"/>
    <w:rsid w:val="007A5210"/>
    <w:rsid w:val="007A5283"/>
    <w:rsid w:val="007E5E0D"/>
    <w:rsid w:val="00870EAF"/>
    <w:rsid w:val="00987B7E"/>
    <w:rsid w:val="009C4CAE"/>
    <w:rsid w:val="009C6C67"/>
    <w:rsid w:val="009E121D"/>
    <w:rsid w:val="00A36F21"/>
    <w:rsid w:val="00A560D2"/>
    <w:rsid w:val="00A9298B"/>
    <w:rsid w:val="00AD494E"/>
    <w:rsid w:val="00AD646D"/>
    <w:rsid w:val="00AE6ABD"/>
    <w:rsid w:val="00BB07CC"/>
    <w:rsid w:val="00BF503D"/>
    <w:rsid w:val="00C276BB"/>
    <w:rsid w:val="00C906A4"/>
    <w:rsid w:val="00D26EAE"/>
    <w:rsid w:val="00D45D54"/>
    <w:rsid w:val="00DE5DDF"/>
    <w:rsid w:val="00DF7A07"/>
    <w:rsid w:val="00E54DF9"/>
    <w:rsid w:val="00E80A0D"/>
    <w:rsid w:val="00F3178C"/>
    <w:rsid w:val="00F42775"/>
    <w:rsid w:val="00F45730"/>
    <w:rsid w:val="00F81FC4"/>
    <w:rsid w:val="00FC77B7"/>
    <w:rsid w:val="00FE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0A06"/>
  <w15:chartTrackingRefBased/>
  <w15:docId w15:val="{468384B8-F3D3-477E-8F1C-154C5E0D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838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838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878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387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83878"/>
    <w:rPr>
      <w:color w:val="0000FF"/>
      <w:u w:val="single"/>
    </w:rPr>
  </w:style>
  <w:style w:type="table" w:styleId="TableGrid">
    <w:name w:val="Table Grid"/>
    <w:basedOn w:val="TableNormal"/>
    <w:uiPriority w:val="39"/>
    <w:rsid w:val="0008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311"/>
  </w:style>
  <w:style w:type="paragraph" w:styleId="Footer">
    <w:name w:val="footer"/>
    <w:basedOn w:val="Normal"/>
    <w:link w:val="FooterChar"/>
    <w:uiPriority w:val="99"/>
    <w:unhideWhenUsed/>
    <w:rsid w:val="00437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311"/>
  </w:style>
  <w:style w:type="paragraph" w:styleId="ListParagraph">
    <w:name w:val="List Paragraph"/>
    <w:basedOn w:val="Normal"/>
    <w:uiPriority w:val="34"/>
    <w:qFormat/>
    <w:rsid w:val="009C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clerk@misterton-notts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ill.wilson@bassetlaw.gov.u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uidance/neighbourhood-planning-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450BA-F2DD-47B4-8775-AE4041DE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Bassetlaw District Council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Wilson</dc:creator>
  <cp:keywords/>
  <dc:description/>
  <cp:lastModifiedBy>Will Wilson</cp:lastModifiedBy>
  <cp:revision>3</cp:revision>
  <dcterms:created xsi:type="dcterms:W3CDTF">2023-09-13T14:51:00Z</dcterms:created>
  <dcterms:modified xsi:type="dcterms:W3CDTF">2023-09-13T14:59:00Z</dcterms:modified>
</cp:coreProperties>
</file>