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7A2" w:rsidRPr="00C357A2" w:rsidRDefault="00C357A2" w:rsidP="00C357A2">
      <w:pPr>
        <w:widowControl w:val="0"/>
        <w:autoSpaceDE w:val="0"/>
        <w:autoSpaceDN w:val="0"/>
        <w:spacing w:after="0" w:line="240" w:lineRule="auto"/>
        <w:rPr>
          <w:rFonts w:ascii="Times New Roman" w:eastAsia="Arial" w:hAnsi="Arial" w:cs="Arial"/>
          <w:sz w:val="20"/>
          <w:szCs w:val="16"/>
          <w:lang w:val="en-US"/>
        </w:rPr>
      </w:pPr>
    </w:p>
    <w:p w:rsidR="00C357A2" w:rsidRPr="00C357A2" w:rsidRDefault="00C357A2" w:rsidP="00C357A2">
      <w:pPr>
        <w:widowControl w:val="0"/>
        <w:autoSpaceDE w:val="0"/>
        <w:autoSpaceDN w:val="0"/>
        <w:spacing w:after="0" w:line="240" w:lineRule="auto"/>
        <w:rPr>
          <w:rFonts w:ascii="Times New Roman" w:eastAsia="Arial" w:hAnsi="Arial" w:cs="Arial"/>
          <w:sz w:val="20"/>
          <w:szCs w:val="16"/>
          <w:lang w:val="en-US"/>
        </w:rPr>
      </w:pPr>
    </w:p>
    <w:p w:rsidR="00C357A2" w:rsidRPr="00C357A2" w:rsidRDefault="00C357A2" w:rsidP="00C357A2">
      <w:pPr>
        <w:widowControl w:val="0"/>
        <w:autoSpaceDE w:val="0"/>
        <w:autoSpaceDN w:val="0"/>
        <w:spacing w:after="0" w:line="240" w:lineRule="auto"/>
        <w:rPr>
          <w:rFonts w:ascii="Times New Roman" w:eastAsia="Arial" w:hAnsi="Arial" w:cs="Arial"/>
          <w:sz w:val="20"/>
          <w:szCs w:val="16"/>
          <w:lang w:val="en-US"/>
        </w:rPr>
      </w:pPr>
    </w:p>
    <w:p w:rsidR="00C357A2" w:rsidRPr="00C357A2" w:rsidRDefault="00C357A2" w:rsidP="00C357A2">
      <w:pPr>
        <w:widowControl w:val="0"/>
        <w:autoSpaceDE w:val="0"/>
        <w:autoSpaceDN w:val="0"/>
        <w:spacing w:before="188" w:after="0" w:line="240" w:lineRule="auto"/>
        <w:ind w:left="112"/>
        <w:rPr>
          <w:rFonts w:ascii="Calibri" w:eastAsia="Arial" w:hAnsi="Arial" w:cs="Arial"/>
          <w:b/>
          <w:sz w:val="44"/>
          <w:lang w:val="en-US"/>
        </w:rPr>
      </w:pPr>
      <w:bookmarkStart w:id="0" w:name="Sturton_Ward_Cover_1"/>
      <w:bookmarkEnd w:id="0"/>
    </w:p>
    <w:p w:rsidR="00C357A2" w:rsidRPr="00C357A2" w:rsidRDefault="00C357A2" w:rsidP="00C357A2">
      <w:pPr>
        <w:widowControl w:val="0"/>
        <w:autoSpaceDE w:val="0"/>
        <w:autoSpaceDN w:val="0"/>
        <w:spacing w:before="188" w:after="0" w:line="240" w:lineRule="auto"/>
        <w:ind w:left="112"/>
        <w:rPr>
          <w:rFonts w:ascii="Calibri" w:eastAsia="Arial" w:hAnsi="Arial" w:cs="Arial"/>
          <w:b/>
          <w:sz w:val="44"/>
          <w:lang w:val="en-US"/>
        </w:rPr>
      </w:pPr>
    </w:p>
    <w:p w:rsidR="00C357A2" w:rsidRPr="00C357A2" w:rsidRDefault="00C357A2" w:rsidP="00C357A2">
      <w:pPr>
        <w:widowControl w:val="0"/>
        <w:autoSpaceDE w:val="0"/>
        <w:autoSpaceDN w:val="0"/>
        <w:spacing w:before="188" w:after="0" w:line="240" w:lineRule="auto"/>
        <w:ind w:left="112"/>
        <w:rPr>
          <w:rFonts w:ascii="Calibri" w:eastAsia="Arial" w:hAnsi="Arial" w:cs="Arial"/>
          <w:b/>
          <w:sz w:val="44"/>
          <w:lang w:val="en-US"/>
        </w:rPr>
      </w:pPr>
    </w:p>
    <w:p w:rsidR="00C357A2" w:rsidRPr="00C357A2" w:rsidRDefault="00C357A2" w:rsidP="00C357A2">
      <w:pPr>
        <w:widowControl w:val="0"/>
        <w:autoSpaceDE w:val="0"/>
        <w:autoSpaceDN w:val="0"/>
        <w:spacing w:before="188" w:after="0" w:line="240" w:lineRule="auto"/>
        <w:ind w:left="112"/>
        <w:rPr>
          <w:rFonts w:ascii="Calibri" w:eastAsia="Arial" w:hAnsi="Arial" w:cs="Arial"/>
          <w:b/>
          <w:sz w:val="44"/>
          <w:lang w:val="en-US"/>
        </w:rPr>
      </w:pPr>
      <w:r w:rsidRPr="00C357A2">
        <w:rPr>
          <w:rFonts w:ascii="Calibri" w:eastAsia="Arial" w:hAnsi="Arial" w:cs="Arial"/>
          <w:b/>
          <w:sz w:val="44"/>
          <w:lang w:val="en-US"/>
        </w:rPr>
        <w:t>Retford Town Centre Neighbourhood Plan</w:t>
      </w:r>
    </w:p>
    <w:p w:rsidR="00C357A2" w:rsidRPr="00C357A2" w:rsidRDefault="00C357A2" w:rsidP="00C357A2">
      <w:pPr>
        <w:widowControl w:val="0"/>
        <w:autoSpaceDE w:val="0"/>
        <w:autoSpaceDN w:val="0"/>
        <w:spacing w:after="0" w:line="240" w:lineRule="auto"/>
        <w:rPr>
          <w:rFonts w:ascii="Calibri" w:eastAsia="Arial" w:hAnsi="Arial" w:cs="Arial"/>
          <w:b/>
          <w:sz w:val="44"/>
          <w:szCs w:val="16"/>
          <w:lang w:val="en-US"/>
        </w:rPr>
      </w:pPr>
    </w:p>
    <w:p w:rsidR="00C357A2" w:rsidRPr="00C357A2" w:rsidRDefault="00C357A2" w:rsidP="00C357A2">
      <w:pPr>
        <w:widowControl w:val="0"/>
        <w:autoSpaceDE w:val="0"/>
        <w:autoSpaceDN w:val="0"/>
        <w:spacing w:before="2" w:after="0" w:line="240" w:lineRule="auto"/>
        <w:rPr>
          <w:rFonts w:ascii="Calibri" w:eastAsia="Arial" w:hAnsi="Arial" w:cs="Arial"/>
          <w:b/>
          <w:sz w:val="33"/>
          <w:szCs w:val="16"/>
          <w:lang w:val="en-US"/>
        </w:rPr>
      </w:pPr>
    </w:p>
    <w:p w:rsidR="00C357A2" w:rsidRPr="00C357A2" w:rsidRDefault="00C357A2" w:rsidP="00C357A2">
      <w:pPr>
        <w:widowControl w:val="0"/>
        <w:autoSpaceDE w:val="0"/>
        <w:autoSpaceDN w:val="0"/>
        <w:spacing w:after="0" w:line="240" w:lineRule="auto"/>
        <w:ind w:left="112"/>
        <w:rPr>
          <w:rFonts w:ascii="Calibri" w:eastAsia="Arial" w:hAnsi="Calibri" w:cs="Arial"/>
          <w:b/>
          <w:sz w:val="44"/>
          <w:lang w:val="en-US"/>
        </w:rPr>
      </w:pPr>
      <w:r w:rsidRPr="00C357A2">
        <w:rPr>
          <w:rFonts w:ascii="Calibri" w:eastAsia="Arial" w:hAnsi="Calibri" w:cs="Arial"/>
          <w:b/>
          <w:sz w:val="44"/>
          <w:lang w:val="en-US"/>
        </w:rPr>
        <w:t>Potential Development Site NP05: Retford Registry Office, Chancery Lane</w:t>
      </w:r>
    </w:p>
    <w:p w:rsidR="00C357A2" w:rsidRPr="00C357A2" w:rsidRDefault="00C357A2" w:rsidP="00C357A2">
      <w:pPr>
        <w:widowControl w:val="0"/>
        <w:autoSpaceDE w:val="0"/>
        <w:autoSpaceDN w:val="0"/>
        <w:spacing w:after="0" w:line="240" w:lineRule="auto"/>
        <w:ind w:left="112"/>
        <w:rPr>
          <w:rFonts w:ascii="Calibri" w:eastAsia="Arial" w:hAnsi="Arial" w:cs="Arial"/>
          <w:b/>
          <w:sz w:val="60"/>
          <w:szCs w:val="16"/>
          <w:lang w:val="en-US"/>
        </w:rPr>
      </w:pPr>
    </w:p>
    <w:p w:rsidR="00C357A2" w:rsidRPr="00C357A2" w:rsidRDefault="00C357A2" w:rsidP="00C357A2">
      <w:pPr>
        <w:widowControl w:val="0"/>
        <w:autoSpaceDE w:val="0"/>
        <w:autoSpaceDN w:val="0"/>
        <w:spacing w:after="0" w:line="240" w:lineRule="auto"/>
        <w:ind w:left="112"/>
        <w:rPr>
          <w:rFonts w:ascii="Calibri" w:eastAsia="Arial" w:hAnsi="Arial" w:cs="Arial"/>
          <w:sz w:val="44"/>
          <w:lang w:val="en-US"/>
        </w:rPr>
      </w:pPr>
      <w:r w:rsidRPr="00C357A2">
        <w:rPr>
          <w:rFonts w:ascii="Calibri" w:eastAsia="Arial" w:hAnsi="Arial" w:cs="Arial"/>
          <w:sz w:val="44"/>
          <w:lang w:val="en-US"/>
        </w:rPr>
        <w:t>Maps and Technical Assessments</w:t>
      </w:r>
    </w:p>
    <w:p w:rsidR="00C357A2" w:rsidRPr="00C357A2" w:rsidRDefault="00C357A2" w:rsidP="00C357A2">
      <w:pPr>
        <w:widowControl w:val="0"/>
        <w:autoSpaceDE w:val="0"/>
        <w:autoSpaceDN w:val="0"/>
        <w:spacing w:after="0" w:line="240" w:lineRule="auto"/>
        <w:rPr>
          <w:rFonts w:ascii="Calibri" w:eastAsia="Arial" w:hAnsi="Arial" w:cs="Arial"/>
          <w:sz w:val="44"/>
          <w:szCs w:val="16"/>
          <w:lang w:val="en-US"/>
        </w:rPr>
      </w:pPr>
    </w:p>
    <w:p w:rsidR="00C357A2" w:rsidRPr="00C357A2" w:rsidRDefault="00C357A2" w:rsidP="00C357A2">
      <w:pPr>
        <w:widowControl w:val="0"/>
        <w:autoSpaceDE w:val="0"/>
        <w:autoSpaceDN w:val="0"/>
        <w:spacing w:before="1" w:after="0" w:line="240" w:lineRule="auto"/>
        <w:rPr>
          <w:rFonts w:ascii="Calibri" w:eastAsia="Arial" w:hAnsi="Arial" w:cs="Arial"/>
          <w:sz w:val="33"/>
          <w:szCs w:val="16"/>
          <w:lang w:val="en-US"/>
        </w:rPr>
      </w:pPr>
    </w:p>
    <w:p w:rsidR="00C357A2" w:rsidRPr="00C357A2" w:rsidRDefault="00C357A2" w:rsidP="00C357A2">
      <w:pPr>
        <w:widowControl w:val="0"/>
        <w:autoSpaceDE w:val="0"/>
        <w:autoSpaceDN w:val="0"/>
        <w:spacing w:before="1" w:after="0" w:line="240" w:lineRule="auto"/>
        <w:ind w:left="112"/>
        <w:rPr>
          <w:rFonts w:ascii="Calibri" w:eastAsia="Arial" w:hAnsi="Arial" w:cs="Arial"/>
          <w:sz w:val="44"/>
          <w:lang w:val="en-US"/>
        </w:rPr>
      </w:pPr>
      <w:r w:rsidRPr="00C357A2">
        <w:rPr>
          <w:rFonts w:ascii="Calibri" w:eastAsia="Arial" w:hAnsi="Arial" w:cs="Arial"/>
          <w:sz w:val="44"/>
          <w:lang w:val="en-US"/>
        </w:rPr>
        <w:t>February 2023</w:t>
      </w:r>
    </w:p>
    <w:p w:rsidR="00C357A2" w:rsidRPr="00C357A2" w:rsidRDefault="00C357A2" w:rsidP="00C357A2">
      <w:pPr>
        <w:widowControl w:val="0"/>
        <w:autoSpaceDE w:val="0"/>
        <w:autoSpaceDN w:val="0"/>
        <w:spacing w:after="0" w:line="240" w:lineRule="auto"/>
        <w:rPr>
          <w:rFonts w:ascii="Calibri" w:eastAsia="Arial" w:hAnsi="Arial" w:cs="Arial"/>
          <w:sz w:val="20"/>
          <w:szCs w:val="16"/>
          <w:lang w:val="en-US"/>
        </w:rPr>
      </w:pPr>
    </w:p>
    <w:p w:rsidR="00C357A2" w:rsidRPr="00C357A2" w:rsidRDefault="00C357A2" w:rsidP="00C357A2">
      <w:pPr>
        <w:widowControl w:val="0"/>
        <w:autoSpaceDE w:val="0"/>
        <w:autoSpaceDN w:val="0"/>
        <w:spacing w:after="0" w:line="240" w:lineRule="auto"/>
        <w:rPr>
          <w:rFonts w:ascii="Calibri" w:eastAsia="Arial" w:hAnsi="Arial" w:cs="Arial"/>
          <w:sz w:val="20"/>
          <w:szCs w:val="16"/>
          <w:lang w:val="en-US"/>
        </w:rPr>
      </w:pPr>
    </w:p>
    <w:p w:rsidR="00C357A2" w:rsidRPr="00C357A2" w:rsidRDefault="00C357A2" w:rsidP="00C357A2">
      <w:pPr>
        <w:widowControl w:val="0"/>
        <w:autoSpaceDE w:val="0"/>
        <w:autoSpaceDN w:val="0"/>
        <w:spacing w:after="0" w:line="240" w:lineRule="auto"/>
        <w:rPr>
          <w:rFonts w:ascii="Calibri" w:eastAsia="Arial" w:hAnsi="Arial" w:cs="Arial"/>
          <w:sz w:val="20"/>
          <w:szCs w:val="16"/>
          <w:lang w:val="en-US"/>
        </w:rPr>
      </w:pPr>
    </w:p>
    <w:p w:rsidR="00C357A2" w:rsidRPr="00C357A2" w:rsidRDefault="00C357A2" w:rsidP="00C357A2">
      <w:pPr>
        <w:widowControl w:val="0"/>
        <w:autoSpaceDE w:val="0"/>
        <w:autoSpaceDN w:val="0"/>
        <w:spacing w:after="0" w:line="240" w:lineRule="auto"/>
        <w:rPr>
          <w:rFonts w:ascii="Calibri" w:eastAsia="Arial" w:hAnsi="Arial" w:cs="Arial"/>
          <w:sz w:val="20"/>
          <w:szCs w:val="16"/>
          <w:lang w:val="en-US"/>
        </w:rPr>
      </w:pPr>
    </w:p>
    <w:p w:rsidR="00C357A2" w:rsidRPr="00C357A2" w:rsidRDefault="00C357A2" w:rsidP="00C357A2">
      <w:pPr>
        <w:widowControl w:val="0"/>
        <w:autoSpaceDE w:val="0"/>
        <w:autoSpaceDN w:val="0"/>
        <w:spacing w:before="1" w:after="0" w:line="240" w:lineRule="auto"/>
        <w:rPr>
          <w:rFonts w:ascii="Calibri" w:eastAsia="Arial" w:hAnsi="Arial" w:cs="Arial"/>
          <w:sz w:val="16"/>
          <w:szCs w:val="16"/>
          <w:lang w:val="en-US"/>
        </w:rPr>
      </w:pPr>
    </w:p>
    <w:p w:rsidR="00C357A2" w:rsidRPr="00C357A2" w:rsidRDefault="00C357A2" w:rsidP="00C357A2">
      <w:pPr>
        <w:widowControl w:val="0"/>
        <w:autoSpaceDE w:val="0"/>
        <w:autoSpaceDN w:val="0"/>
        <w:spacing w:after="0" w:line="240" w:lineRule="auto"/>
        <w:rPr>
          <w:rFonts w:ascii="Calibri" w:eastAsia="Arial" w:hAnsi="Arial" w:cs="Arial"/>
          <w:b/>
          <w:sz w:val="20"/>
          <w:szCs w:val="16"/>
          <w:lang w:val="en-US"/>
        </w:rPr>
      </w:pPr>
    </w:p>
    <w:p w:rsidR="00C357A2" w:rsidRPr="00C357A2" w:rsidRDefault="00C357A2" w:rsidP="00C357A2">
      <w:pPr>
        <w:widowControl w:val="0"/>
        <w:autoSpaceDE w:val="0"/>
        <w:autoSpaceDN w:val="0"/>
        <w:spacing w:after="0" w:line="240" w:lineRule="auto"/>
        <w:rPr>
          <w:rFonts w:ascii="Calibri" w:eastAsia="Arial" w:hAnsi="Arial" w:cs="Arial"/>
          <w:b/>
          <w:sz w:val="20"/>
          <w:szCs w:val="16"/>
          <w:lang w:val="en-US"/>
        </w:rPr>
      </w:pPr>
    </w:p>
    <w:p w:rsidR="00C357A2" w:rsidRPr="00C357A2" w:rsidRDefault="00C357A2" w:rsidP="00C357A2">
      <w:pPr>
        <w:widowControl w:val="0"/>
        <w:autoSpaceDE w:val="0"/>
        <w:autoSpaceDN w:val="0"/>
        <w:spacing w:after="0" w:line="240" w:lineRule="auto"/>
        <w:rPr>
          <w:rFonts w:ascii="Calibri" w:eastAsia="Arial" w:hAnsi="Arial" w:cs="Arial"/>
          <w:b/>
          <w:sz w:val="20"/>
          <w:szCs w:val="16"/>
          <w:lang w:val="en-US"/>
        </w:rPr>
      </w:pPr>
    </w:p>
    <w:p w:rsidR="00C357A2" w:rsidRPr="00C357A2" w:rsidRDefault="00C357A2" w:rsidP="00C357A2">
      <w:pPr>
        <w:widowControl w:val="0"/>
        <w:autoSpaceDE w:val="0"/>
        <w:autoSpaceDN w:val="0"/>
        <w:spacing w:after="0" w:line="240" w:lineRule="auto"/>
        <w:rPr>
          <w:rFonts w:ascii="Calibri" w:eastAsia="Arial" w:hAnsi="Arial" w:cs="Arial"/>
          <w:b/>
          <w:sz w:val="20"/>
          <w:szCs w:val="16"/>
          <w:lang w:val="en-US"/>
        </w:rPr>
      </w:pPr>
    </w:p>
    <w:p w:rsidR="00C357A2" w:rsidRPr="00C357A2" w:rsidRDefault="00C357A2" w:rsidP="00C357A2">
      <w:pPr>
        <w:widowControl w:val="0"/>
        <w:autoSpaceDE w:val="0"/>
        <w:autoSpaceDN w:val="0"/>
        <w:spacing w:after="0" w:line="240" w:lineRule="auto"/>
        <w:rPr>
          <w:rFonts w:ascii="Calibri" w:eastAsia="Arial" w:hAnsi="Arial" w:cs="Arial"/>
          <w:b/>
          <w:sz w:val="20"/>
          <w:szCs w:val="16"/>
          <w:lang w:val="en-US"/>
        </w:rPr>
      </w:pPr>
    </w:p>
    <w:p w:rsidR="00C357A2" w:rsidRPr="00C357A2" w:rsidRDefault="00C357A2" w:rsidP="00C357A2">
      <w:pPr>
        <w:widowControl w:val="0"/>
        <w:autoSpaceDE w:val="0"/>
        <w:autoSpaceDN w:val="0"/>
        <w:spacing w:after="0" w:line="240" w:lineRule="auto"/>
        <w:rPr>
          <w:rFonts w:ascii="Calibri" w:eastAsia="Arial" w:hAnsi="Arial" w:cs="Arial"/>
          <w:b/>
          <w:sz w:val="20"/>
          <w:szCs w:val="16"/>
          <w:lang w:val="en-US"/>
        </w:rPr>
      </w:pPr>
    </w:p>
    <w:p w:rsidR="00C357A2" w:rsidRPr="00C357A2" w:rsidRDefault="00C357A2" w:rsidP="00C357A2">
      <w:pPr>
        <w:widowControl w:val="0"/>
        <w:autoSpaceDE w:val="0"/>
        <w:autoSpaceDN w:val="0"/>
        <w:spacing w:after="0" w:line="240" w:lineRule="auto"/>
        <w:rPr>
          <w:rFonts w:ascii="Calibri" w:eastAsia="Arial" w:hAnsi="Arial" w:cs="Arial"/>
          <w:b/>
          <w:sz w:val="20"/>
          <w:szCs w:val="16"/>
          <w:lang w:val="en-US"/>
        </w:rPr>
      </w:pPr>
    </w:p>
    <w:p w:rsidR="00C357A2" w:rsidRPr="00C357A2" w:rsidRDefault="00C357A2" w:rsidP="00C357A2">
      <w:pPr>
        <w:widowControl w:val="0"/>
        <w:autoSpaceDE w:val="0"/>
        <w:autoSpaceDN w:val="0"/>
        <w:spacing w:after="0" w:line="240" w:lineRule="auto"/>
        <w:rPr>
          <w:rFonts w:ascii="Calibri" w:eastAsia="Arial" w:hAnsi="Arial" w:cs="Arial"/>
          <w:b/>
          <w:sz w:val="20"/>
          <w:szCs w:val="16"/>
          <w:lang w:val="en-US"/>
        </w:rPr>
      </w:pPr>
    </w:p>
    <w:p w:rsidR="00C357A2" w:rsidRPr="00C357A2" w:rsidRDefault="00C357A2" w:rsidP="00C357A2">
      <w:pPr>
        <w:widowControl w:val="0"/>
        <w:autoSpaceDE w:val="0"/>
        <w:autoSpaceDN w:val="0"/>
        <w:spacing w:after="0" w:line="240" w:lineRule="auto"/>
        <w:rPr>
          <w:rFonts w:ascii="Calibri" w:eastAsia="Arial" w:hAnsi="Arial" w:cs="Arial"/>
          <w:b/>
          <w:sz w:val="20"/>
          <w:szCs w:val="16"/>
          <w:lang w:val="en-US"/>
        </w:rPr>
      </w:pPr>
    </w:p>
    <w:p w:rsidR="00C357A2" w:rsidRPr="00C357A2" w:rsidRDefault="00C357A2" w:rsidP="00C357A2">
      <w:pPr>
        <w:widowControl w:val="0"/>
        <w:autoSpaceDE w:val="0"/>
        <w:autoSpaceDN w:val="0"/>
        <w:spacing w:after="0" w:line="240" w:lineRule="auto"/>
        <w:rPr>
          <w:rFonts w:ascii="Calibri" w:eastAsia="Arial" w:hAnsi="Arial" w:cs="Arial"/>
          <w:b/>
          <w:sz w:val="20"/>
          <w:szCs w:val="16"/>
          <w:lang w:val="en-US"/>
        </w:rPr>
      </w:pPr>
    </w:p>
    <w:p w:rsidR="00C357A2" w:rsidRPr="00C357A2" w:rsidRDefault="00C357A2" w:rsidP="00C357A2">
      <w:pPr>
        <w:widowControl w:val="0"/>
        <w:autoSpaceDE w:val="0"/>
        <w:autoSpaceDN w:val="0"/>
        <w:spacing w:before="7" w:after="0" w:line="240" w:lineRule="auto"/>
        <w:jc w:val="center"/>
        <w:rPr>
          <w:rFonts w:ascii="Calibri" w:eastAsia="Arial" w:hAnsi="Arial" w:cs="Arial"/>
          <w:b/>
          <w:sz w:val="19"/>
          <w:szCs w:val="16"/>
          <w:lang w:val="en-US"/>
        </w:rPr>
      </w:pPr>
      <w:r w:rsidRPr="00C357A2">
        <w:rPr>
          <w:rFonts w:ascii="Arial" w:eastAsia="Arial" w:hAnsi="Arial" w:cs="Arial"/>
          <w:noProof/>
          <w:sz w:val="16"/>
          <w:szCs w:val="16"/>
          <w:lang w:eastAsia="en-GB"/>
        </w:rPr>
        <w:drawing>
          <wp:inline distT="0" distB="0" distL="0" distR="0" wp14:anchorId="4FCA21C3" wp14:editId="187E226A">
            <wp:extent cx="2562362" cy="786384"/>
            <wp:effectExtent l="0" t="0" r="0" b="0"/>
            <wp:docPr id="1" name="image1.jpeg"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2362" cy="786384"/>
                    </a:xfrm>
                    <a:prstGeom prst="rect">
                      <a:avLst/>
                    </a:prstGeom>
                  </pic:spPr>
                </pic:pic>
              </a:graphicData>
            </a:graphic>
          </wp:inline>
        </w:drawing>
      </w:r>
    </w:p>
    <w:p w:rsidR="00C357A2" w:rsidRPr="00C357A2" w:rsidRDefault="00C357A2" w:rsidP="00C357A2">
      <w:pPr>
        <w:widowControl w:val="0"/>
        <w:autoSpaceDE w:val="0"/>
        <w:autoSpaceDN w:val="0"/>
        <w:spacing w:before="7" w:after="0" w:line="240" w:lineRule="auto"/>
        <w:jc w:val="center"/>
        <w:rPr>
          <w:rFonts w:ascii="Calibri" w:eastAsia="Arial" w:hAnsi="Arial" w:cs="Arial"/>
          <w:b/>
          <w:sz w:val="19"/>
          <w:szCs w:val="16"/>
          <w:lang w:val="en-US"/>
        </w:rPr>
      </w:pPr>
    </w:p>
    <w:p w:rsidR="00C357A2" w:rsidRPr="004B529D" w:rsidRDefault="00C357A2" w:rsidP="004B529D">
      <w:pPr>
        <w:rPr>
          <w:rFonts w:cs="Arial"/>
          <w:sz w:val="24"/>
          <w:szCs w:val="24"/>
        </w:rPr>
      </w:pPr>
      <w:r w:rsidRPr="00C357A2">
        <w:rPr>
          <w:rFonts w:cs="Arial"/>
          <w:sz w:val="24"/>
          <w:szCs w:val="24"/>
        </w:rPr>
        <w:br w:type="page"/>
      </w:r>
    </w:p>
    <w:p w:rsidR="00C357A2" w:rsidRDefault="00C357A2" w:rsidP="00C357A2">
      <w:pPr>
        <w:keepNext/>
        <w:keepLines/>
        <w:spacing w:before="40" w:after="0"/>
        <w:outlineLvl w:val="1"/>
        <w:rPr>
          <w:rFonts w:eastAsiaTheme="majorEastAsia" w:cstheme="majorBidi"/>
          <w:b/>
          <w:sz w:val="24"/>
          <w:szCs w:val="24"/>
        </w:rPr>
      </w:pPr>
      <w:bookmarkStart w:id="1" w:name="_Toc126175760"/>
      <w:bookmarkStart w:id="2" w:name="_Toc126176755"/>
      <w:r w:rsidRPr="00C357A2">
        <w:rPr>
          <w:rFonts w:eastAsiaTheme="majorEastAsia" w:cstheme="majorBidi"/>
          <w:b/>
          <w:sz w:val="24"/>
          <w:szCs w:val="24"/>
        </w:rPr>
        <w:lastRenderedPageBreak/>
        <w:t>Site Plan</w:t>
      </w:r>
      <w:bookmarkEnd w:id="1"/>
      <w:bookmarkEnd w:id="2"/>
    </w:p>
    <w:p w:rsidR="004B529D" w:rsidRPr="00C357A2" w:rsidRDefault="004B529D" w:rsidP="00C357A2">
      <w:pPr>
        <w:keepNext/>
        <w:keepLines/>
        <w:spacing w:before="40" w:after="0"/>
        <w:outlineLvl w:val="1"/>
        <w:rPr>
          <w:rFonts w:eastAsiaTheme="majorEastAsia" w:cstheme="majorBidi"/>
          <w:b/>
          <w:sz w:val="24"/>
          <w:szCs w:val="24"/>
        </w:rPr>
      </w:pPr>
    </w:p>
    <w:p w:rsidR="00C357A2" w:rsidRPr="00C357A2" w:rsidRDefault="00C357A2" w:rsidP="00C357A2">
      <w:pPr>
        <w:rPr>
          <w:b/>
          <w:sz w:val="32"/>
          <w:szCs w:val="32"/>
        </w:rPr>
      </w:pPr>
      <w:r w:rsidRPr="00C357A2">
        <w:rPr>
          <w:b/>
          <w:noProof/>
          <w:sz w:val="32"/>
          <w:szCs w:val="32"/>
          <w:lang w:eastAsia="en-GB"/>
        </w:rPr>
        <w:drawing>
          <wp:inline distT="0" distB="0" distL="0" distR="0" wp14:anchorId="39FAF78D" wp14:editId="6BF7BB28">
            <wp:extent cx="5652135" cy="7674683"/>
            <wp:effectExtent l="0" t="0" r="5715" b="2540"/>
            <wp:docPr id="8" name="Picture 8" title="Site plan for potential development site NP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w01\AppData\Local\Microsoft\Windows\INetCache\Content.Word\NP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990"/>
                    <a:stretch/>
                  </pic:blipFill>
                  <pic:spPr bwMode="auto">
                    <a:xfrm>
                      <a:off x="0" y="0"/>
                      <a:ext cx="5652738" cy="7675502"/>
                    </a:xfrm>
                    <a:prstGeom prst="rect">
                      <a:avLst/>
                    </a:prstGeom>
                    <a:noFill/>
                    <a:ln>
                      <a:noFill/>
                    </a:ln>
                    <a:extLst>
                      <a:ext uri="{53640926-AAD7-44D8-BBD7-CCE9431645EC}">
                        <a14:shadowObscured xmlns:a14="http://schemas.microsoft.com/office/drawing/2010/main"/>
                      </a:ext>
                    </a:extLst>
                  </pic:spPr>
                </pic:pic>
              </a:graphicData>
            </a:graphic>
          </wp:inline>
        </w:drawing>
      </w:r>
    </w:p>
    <w:p w:rsidR="00C357A2" w:rsidRPr="00C357A2" w:rsidRDefault="00C357A2" w:rsidP="00C357A2">
      <w:pPr>
        <w:keepNext/>
        <w:keepLines/>
        <w:spacing w:before="40" w:after="0"/>
        <w:outlineLvl w:val="1"/>
        <w:rPr>
          <w:rFonts w:eastAsiaTheme="majorEastAsia" w:cstheme="majorBidi"/>
          <w:b/>
          <w:sz w:val="24"/>
          <w:szCs w:val="24"/>
        </w:rPr>
      </w:pPr>
      <w:bookmarkStart w:id="3" w:name="_Toc126175761"/>
      <w:bookmarkStart w:id="4" w:name="_Toc126176756"/>
      <w:r w:rsidRPr="00C357A2">
        <w:rPr>
          <w:rFonts w:eastAsiaTheme="majorEastAsia" w:cstheme="majorBidi"/>
          <w:b/>
          <w:sz w:val="24"/>
          <w:szCs w:val="24"/>
        </w:rPr>
        <w:lastRenderedPageBreak/>
        <w:t>Constra</w:t>
      </w:r>
      <w:bookmarkStart w:id="5" w:name="_GoBack"/>
      <w:bookmarkEnd w:id="5"/>
      <w:r w:rsidRPr="00C357A2">
        <w:rPr>
          <w:rFonts w:eastAsiaTheme="majorEastAsia" w:cstheme="majorBidi"/>
          <w:b/>
          <w:sz w:val="24"/>
          <w:szCs w:val="24"/>
        </w:rPr>
        <w:t>ints Plan</w:t>
      </w:r>
      <w:bookmarkEnd w:id="3"/>
      <w:bookmarkEnd w:id="4"/>
    </w:p>
    <w:p w:rsidR="00C357A2" w:rsidRPr="00C357A2" w:rsidRDefault="00C357A2" w:rsidP="00C357A2">
      <w:pPr>
        <w:rPr>
          <w:b/>
          <w:sz w:val="32"/>
          <w:szCs w:val="32"/>
        </w:rPr>
      </w:pPr>
      <w:r w:rsidRPr="00C357A2">
        <w:rPr>
          <w:b/>
          <w:noProof/>
          <w:sz w:val="32"/>
          <w:szCs w:val="32"/>
          <w:lang w:eastAsia="en-GB"/>
        </w:rPr>
        <w:drawing>
          <wp:inline distT="0" distB="0" distL="0" distR="0" wp14:anchorId="19D3CCB1" wp14:editId="6D607026">
            <wp:extent cx="5915824" cy="8366588"/>
            <wp:effectExtent l="0" t="0" r="8890" b="0"/>
            <wp:docPr id="9" name="Picture 9" title="Constraints plan for potential development site NP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w01\AppData\Local\Microsoft\Windows\INetCache\Content.Word\NP01 constraint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5824" cy="8366588"/>
                    </a:xfrm>
                    <a:prstGeom prst="rect">
                      <a:avLst/>
                    </a:prstGeom>
                    <a:noFill/>
                    <a:ln>
                      <a:noFill/>
                    </a:ln>
                  </pic:spPr>
                </pic:pic>
              </a:graphicData>
            </a:graphic>
          </wp:inline>
        </w:drawing>
      </w:r>
    </w:p>
    <w:p w:rsidR="00C357A2" w:rsidRPr="00C357A2" w:rsidRDefault="00C357A2" w:rsidP="00C357A2"/>
    <w:p w:rsidR="00C357A2" w:rsidRPr="00C357A2" w:rsidRDefault="00C357A2" w:rsidP="00C357A2">
      <w:pPr>
        <w:keepNext/>
        <w:keepLines/>
        <w:spacing w:before="40" w:after="0"/>
        <w:outlineLvl w:val="1"/>
        <w:rPr>
          <w:rFonts w:eastAsiaTheme="majorEastAsia" w:cstheme="majorBidi"/>
          <w:b/>
          <w:sz w:val="24"/>
          <w:szCs w:val="24"/>
        </w:rPr>
      </w:pPr>
      <w:bookmarkStart w:id="6" w:name="_Toc126175762"/>
      <w:bookmarkStart w:id="7" w:name="_Toc126176757"/>
      <w:r w:rsidRPr="00C357A2">
        <w:rPr>
          <w:rFonts w:eastAsiaTheme="majorEastAsia" w:cstheme="majorBidi"/>
          <w:b/>
          <w:sz w:val="24"/>
          <w:szCs w:val="24"/>
        </w:rPr>
        <w:lastRenderedPageBreak/>
        <w:t>AECOM Site Assessment Report, 2022</w:t>
      </w:r>
      <w:bookmarkEnd w:id="6"/>
      <w:bookmarkEnd w:id="7"/>
    </w:p>
    <w:p w:rsidR="00C357A2" w:rsidRPr="00C357A2" w:rsidRDefault="00C357A2" w:rsidP="00C357A2"/>
    <w:p w:rsidR="00C357A2" w:rsidRDefault="00C357A2" w:rsidP="00C357A2">
      <w:pPr>
        <w:ind w:left="720"/>
        <w:rPr>
          <w:b/>
          <w:sz w:val="24"/>
          <w:szCs w:val="24"/>
        </w:rPr>
      </w:pPr>
      <w:r w:rsidRPr="00C357A2">
        <w:rPr>
          <w:b/>
          <w:sz w:val="24"/>
          <w:szCs w:val="24"/>
        </w:rPr>
        <w:t>Score: Amber</w:t>
      </w:r>
    </w:p>
    <w:p w:rsidR="00C4087D" w:rsidRPr="00C4087D" w:rsidRDefault="00C4087D" w:rsidP="00C4087D">
      <w:pPr>
        <w:ind w:left="720"/>
        <w:rPr>
          <w:rFonts w:eastAsia="Calibri" w:cs="Arial"/>
          <w:b/>
          <w:bCs/>
          <w:color w:val="000000"/>
          <w:sz w:val="24"/>
          <w:szCs w:val="24"/>
        </w:rPr>
      </w:pPr>
      <w:r>
        <w:rPr>
          <w:rFonts w:eastAsia="Calibri" w:cs="Arial"/>
          <w:b/>
          <w:bCs/>
          <w:color w:val="000000"/>
          <w:sz w:val="24"/>
          <w:szCs w:val="24"/>
        </w:rPr>
        <w:t>Conclusions (please see</w:t>
      </w:r>
      <w:hyperlink r:id="rId9" w:history="1">
        <w:r>
          <w:rPr>
            <w:rStyle w:val="Hyperlink"/>
            <w:rFonts w:eastAsia="Calibri" w:cs="Arial"/>
            <w:b/>
            <w:bCs/>
            <w:sz w:val="24"/>
            <w:szCs w:val="24"/>
          </w:rPr>
          <w:t xml:space="preserve"> full report</w:t>
        </w:r>
      </w:hyperlink>
      <w:r>
        <w:rPr>
          <w:rFonts w:eastAsia="Calibri" w:cs="Arial"/>
          <w:b/>
          <w:bCs/>
          <w:color w:val="000000"/>
          <w:sz w:val="24"/>
          <w:szCs w:val="24"/>
        </w:rPr>
        <w:t xml:space="preserve"> for more detail)</w:t>
      </w:r>
    </w:p>
    <w:p w:rsidR="00C357A2" w:rsidRPr="00C357A2" w:rsidRDefault="00C357A2" w:rsidP="00C357A2">
      <w:pPr>
        <w:ind w:left="720"/>
        <w:rPr>
          <w:sz w:val="24"/>
          <w:szCs w:val="24"/>
        </w:rPr>
      </w:pPr>
      <w:r w:rsidRPr="00C357A2">
        <w:rPr>
          <w:sz w:val="24"/>
          <w:szCs w:val="24"/>
        </w:rPr>
        <w:t xml:space="preserve">The site </w:t>
      </w:r>
      <w:proofErr w:type="gramStart"/>
      <w:r w:rsidRPr="00C357A2">
        <w:rPr>
          <w:sz w:val="24"/>
          <w:szCs w:val="24"/>
        </w:rPr>
        <w:t>is currently occupied</w:t>
      </w:r>
      <w:proofErr w:type="gramEnd"/>
      <w:r w:rsidRPr="00C357A2">
        <w:rPr>
          <w:sz w:val="24"/>
          <w:szCs w:val="24"/>
        </w:rPr>
        <w:t xml:space="preserve"> by a two-storey office block and car park. The site is entirely in Flood Zone 3, and its suitability for residential development would therefore be subject to a sequential and exception test. Site-specific flood risk assessment is likely to be required along with on-site mitigation measures. Sensitive/vulnerable uses </w:t>
      </w:r>
      <w:proofErr w:type="gramStart"/>
      <w:r w:rsidRPr="00C357A2">
        <w:rPr>
          <w:sz w:val="24"/>
          <w:szCs w:val="24"/>
        </w:rPr>
        <w:t>should be kept</w:t>
      </w:r>
      <w:proofErr w:type="gramEnd"/>
      <w:r w:rsidRPr="00C357A2">
        <w:rPr>
          <w:sz w:val="24"/>
          <w:szCs w:val="24"/>
        </w:rPr>
        <w:t xml:space="preserve"> off the ground floor to minimise risk to future occupiers.</w:t>
      </w:r>
    </w:p>
    <w:p w:rsidR="00C357A2" w:rsidRPr="00C357A2" w:rsidRDefault="00C357A2" w:rsidP="00C357A2">
      <w:pPr>
        <w:ind w:left="720"/>
        <w:rPr>
          <w:sz w:val="24"/>
          <w:szCs w:val="24"/>
        </w:rPr>
      </w:pPr>
      <w:r w:rsidRPr="00C357A2">
        <w:rPr>
          <w:sz w:val="24"/>
          <w:szCs w:val="24"/>
        </w:rPr>
        <w:t xml:space="preserve">It is entirely within the Conservation Area, and there are several listed buildings in close proximity, including the Grade II listed 18 and 18a The Square, immediately to the east. Any new development on the site </w:t>
      </w:r>
      <w:proofErr w:type="gramStart"/>
      <w:r w:rsidRPr="00C357A2">
        <w:rPr>
          <w:sz w:val="24"/>
          <w:szCs w:val="24"/>
        </w:rPr>
        <w:t>should be sensitively designed</w:t>
      </w:r>
      <w:proofErr w:type="gramEnd"/>
      <w:r w:rsidRPr="00C357A2">
        <w:rPr>
          <w:sz w:val="24"/>
          <w:szCs w:val="24"/>
        </w:rPr>
        <w:t xml:space="preserve"> to minimise impact on the historic environment and enhance the existing heritage assets. </w:t>
      </w:r>
    </w:p>
    <w:p w:rsidR="00C357A2" w:rsidRPr="00C357A2" w:rsidRDefault="00C357A2" w:rsidP="00C357A2">
      <w:pPr>
        <w:ind w:left="720"/>
        <w:rPr>
          <w:sz w:val="24"/>
          <w:szCs w:val="24"/>
        </w:rPr>
      </w:pPr>
      <w:r w:rsidRPr="00C357A2">
        <w:rPr>
          <w:sz w:val="24"/>
          <w:szCs w:val="24"/>
        </w:rPr>
        <w:t xml:space="preserve">The site </w:t>
      </w:r>
      <w:proofErr w:type="gramStart"/>
      <w:r w:rsidRPr="00C357A2">
        <w:rPr>
          <w:sz w:val="24"/>
          <w:szCs w:val="24"/>
        </w:rPr>
        <w:t>is situated</w:t>
      </w:r>
      <w:proofErr w:type="gramEnd"/>
      <w:r w:rsidRPr="00C357A2">
        <w:rPr>
          <w:sz w:val="24"/>
          <w:szCs w:val="24"/>
        </w:rPr>
        <w:t xml:space="preserve"> close to King's Park, an unregistered park and garden. In order to minimise impact on the setting of the park, building heights may need to be limited, subject to discussion with the Local Planning Authority. </w:t>
      </w:r>
    </w:p>
    <w:p w:rsidR="00C357A2" w:rsidRPr="00C357A2" w:rsidRDefault="00C357A2" w:rsidP="00C357A2">
      <w:pPr>
        <w:ind w:left="720"/>
        <w:rPr>
          <w:sz w:val="24"/>
          <w:szCs w:val="24"/>
        </w:rPr>
      </w:pPr>
      <w:r w:rsidRPr="00C357A2">
        <w:rPr>
          <w:sz w:val="24"/>
          <w:szCs w:val="24"/>
        </w:rPr>
        <w:t xml:space="preserve">Subject to appropriate flood risk mitigation, the site is potentially suitable for residential uses, including specialist or older people's accommodation. </w:t>
      </w:r>
      <w:proofErr w:type="gramStart"/>
      <w:r w:rsidRPr="00C357A2">
        <w:rPr>
          <w:sz w:val="24"/>
          <w:szCs w:val="24"/>
        </w:rPr>
        <w:t>It is adjacent to Site NP06, which is in the same ownership, and there is potential for a comprehensive redevelopment of the two sites, with the existing community use on Site NP06 either being retained in its current location or relocated onto Site NP05.The indicative capacity is based on conversion or redevelopment of the site, although this has the potential to be increased if combined with Site NP06.</w:t>
      </w:r>
      <w:proofErr w:type="gramEnd"/>
    </w:p>
    <w:p w:rsidR="00C357A2" w:rsidRPr="00C357A2" w:rsidRDefault="00C357A2" w:rsidP="00C357A2">
      <w:pPr>
        <w:ind w:left="720"/>
        <w:rPr>
          <w:sz w:val="24"/>
          <w:szCs w:val="24"/>
        </w:rPr>
      </w:pPr>
      <w:r w:rsidRPr="00C357A2">
        <w:rPr>
          <w:sz w:val="24"/>
          <w:szCs w:val="24"/>
        </w:rPr>
        <w:t xml:space="preserve">There is potential for the existing office block to </w:t>
      </w:r>
      <w:proofErr w:type="gramStart"/>
      <w:r w:rsidRPr="00C357A2">
        <w:rPr>
          <w:sz w:val="24"/>
          <w:szCs w:val="24"/>
        </w:rPr>
        <w:t>be converted</w:t>
      </w:r>
      <w:proofErr w:type="gramEnd"/>
      <w:r w:rsidRPr="00C357A2">
        <w:rPr>
          <w:sz w:val="24"/>
          <w:szCs w:val="24"/>
        </w:rPr>
        <w:t xml:space="preserve"> to residential/mixed-use, with additional storeys. Demolition of the buildings may increase the cost of development.</w:t>
      </w:r>
    </w:p>
    <w:p w:rsidR="00C357A2" w:rsidRPr="00C357A2" w:rsidRDefault="00C357A2" w:rsidP="00C357A2">
      <w:pPr>
        <w:ind w:left="720"/>
        <w:rPr>
          <w:sz w:val="24"/>
          <w:szCs w:val="24"/>
        </w:rPr>
      </w:pPr>
      <w:r w:rsidRPr="00C357A2">
        <w:rPr>
          <w:sz w:val="24"/>
          <w:szCs w:val="24"/>
        </w:rPr>
        <w:t>The site is potentially suitable for allocation for residential or mixed-use development (including community use), either on its own or in combination with Site NP06, subject to mitigation of the identified constraints.</w:t>
      </w:r>
    </w:p>
    <w:p w:rsidR="00C357A2" w:rsidRPr="00C357A2" w:rsidRDefault="00C357A2" w:rsidP="00C357A2">
      <w:pPr>
        <w:ind w:firstLine="720"/>
        <w:rPr>
          <w:b/>
          <w:sz w:val="24"/>
          <w:szCs w:val="24"/>
        </w:rPr>
      </w:pPr>
    </w:p>
    <w:p w:rsidR="00C357A2" w:rsidRPr="00C357A2" w:rsidRDefault="00C357A2" w:rsidP="00C357A2">
      <w:pPr>
        <w:keepNext/>
        <w:keepLines/>
        <w:spacing w:before="40" w:after="0"/>
        <w:outlineLvl w:val="1"/>
        <w:rPr>
          <w:rFonts w:eastAsiaTheme="majorEastAsia" w:cstheme="majorBidi"/>
          <w:b/>
          <w:sz w:val="24"/>
          <w:szCs w:val="24"/>
        </w:rPr>
      </w:pPr>
      <w:bookmarkStart w:id="8" w:name="_Toc126175763"/>
      <w:bookmarkStart w:id="9" w:name="_Toc126176758"/>
      <w:r w:rsidRPr="00C357A2">
        <w:rPr>
          <w:rFonts w:eastAsiaTheme="majorEastAsia" w:cstheme="majorBidi"/>
          <w:b/>
          <w:sz w:val="24"/>
          <w:szCs w:val="24"/>
        </w:rPr>
        <w:t>Bassetlaw District Council Planning Policy</w:t>
      </w:r>
      <w:bookmarkEnd w:id="8"/>
      <w:bookmarkEnd w:id="9"/>
    </w:p>
    <w:p w:rsidR="00C357A2" w:rsidRPr="00C357A2" w:rsidRDefault="00C357A2" w:rsidP="00C357A2">
      <w:pPr>
        <w:shd w:val="clear" w:color="auto" w:fill="FFFFFF"/>
        <w:spacing w:before="300" w:after="300" w:line="240" w:lineRule="auto"/>
        <w:ind w:left="720"/>
        <w:rPr>
          <w:rFonts w:eastAsia="Times New Roman" w:cs="Arial"/>
          <w:sz w:val="24"/>
          <w:szCs w:val="24"/>
          <w:lang w:eastAsia="en-GB"/>
        </w:rPr>
      </w:pPr>
      <w:r w:rsidRPr="00C357A2">
        <w:rPr>
          <w:rFonts w:eastAsia="Times New Roman" w:cs="Arial"/>
          <w:sz w:val="24"/>
          <w:szCs w:val="24"/>
          <w:lang w:eastAsia="en-GB"/>
        </w:rPr>
        <w:t xml:space="preserve">National planning policy requires Plans to steer development to areas at low risk from flooding i.e. Flood Zone 1, in preference to areas at higher risk i.e. Flood Zones 2 and 3, and this </w:t>
      </w:r>
      <w:proofErr w:type="gramStart"/>
      <w:r w:rsidRPr="00C357A2">
        <w:rPr>
          <w:rFonts w:eastAsia="Times New Roman" w:cs="Arial"/>
          <w:sz w:val="24"/>
          <w:szCs w:val="24"/>
          <w:lang w:eastAsia="en-GB"/>
        </w:rPr>
        <w:t>should be applied</w:t>
      </w:r>
      <w:proofErr w:type="gramEnd"/>
      <w:r w:rsidRPr="00C357A2">
        <w:rPr>
          <w:rFonts w:eastAsia="Times New Roman" w:cs="Arial"/>
          <w:sz w:val="24"/>
          <w:szCs w:val="24"/>
          <w:lang w:eastAsia="en-GB"/>
        </w:rPr>
        <w:t xml:space="preserve"> to all prospective development areas and sites. Approximately 98% of Site NP05 is within Flood Zone 3: as having a high probability of river flooding. </w:t>
      </w:r>
    </w:p>
    <w:p w:rsidR="00C357A2" w:rsidRPr="00C357A2" w:rsidRDefault="00C357A2" w:rsidP="00C357A2">
      <w:pPr>
        <w:shd w:val="clear" w:color="auto" w:fill="FFFFFF"/>
        <w:spacing w:before="300" w:after="300" w:line="240" w:lineRule="auto"/>
        <w:ind w:left="720"/>
        <w:rPr>
          <w:rFonts w:eastAsia="Times New Roman" w:cs="Arial"/>
          <w:sz w:val="24"/>
          <w:szCs w:val="24"/>
          <w:lang w:eastAsia="en-GB"/>
        </w:rPr>
      </w:pPr>
      <w:r w:rsidRPr="00C357A2">
        <w:rPr>
          <w:rFonts w:eastAsia="Times New Roman" w:cs="Arial"/>
          <w:sz w:val="24"/>
          <w:szCs w:val="24"/>
          <w:lang w:eastAsia="en-GB"/>
        </w:rPr>
        <w:lastRenderedPageBreak/>
        <w:t xml:space="preserve">As such, before progressing the Plan, </w:t>
      </w:r>
      <w:proofErr w:type="gramStart"/>
      <w:r w:rsidRPr="00C357A2">
        <w:rPr>
          <w:rFonts w:eastAsia="Times New Roman" w:cs="Arial"/>
          <w:sz w:val="24"/>
          <w:szCs w:val="24"/>
          <w:lang w:eastAsia="en-GB"/>
        </w:rPr>
        <w:t>its</w:t>
      </w:r>
      <w:proofErr w:type="gramEnd"/>
      <w:r w:rsidRPr="00C357A2">
        <w:rPr>
          <w:rFonts w:eastAsia="Times New Roman" w:cs="Arial"/>
          <w:sz w:val="24"/>
          <w:szCs w:val="24"/>
          <w:lang w:eastAsia="en-GB"/>
        </w:rPr>
        <w:t xml:space="preserve"> recommended that a Sequential Test is undertaken for the sites in the neighbourhood plan to ensure the requirements of the sequential test in national policy are satisfied. Bassetlaw District Council, with advice from the Environment Agency, are responsible for considering the extent to which Sequential Test considerations </w:t>
      </w:r>
      <w:proofErr w:type="gramStart"/>
      <w:r w:rsidRPr="00C357A2">
        <w:rPr>
          <w:rFonts w:eastAsia="Times New Roman" w:cs="Arial"/>
          <w:sz w:val="24"/>
          <w:szCs w:val="24"/>
          <w:lang w:eastAsia="en-GB"/>
        </w:rPr>
        <w:t>have been met</w:t>
      </w:r>
      <w:proofErr w:type="gramEnd"/>
      <w:r w:rsidRPr="00C357A2">
        <w:rPr>
          <w:rFonts w:eastAsia="Times New Roman" w:cs="Arial"/>
          <w:sz w:val="24"/>
          <w:szCs w:val="24"/>
          <w:lang w:eastAsia="en-GB"/>
        </w:rPr>
        <w:t>. This will include whether the proposed development would be safe, that occupiers can safely leave the development in times of a flood, and that the proposed development would not lead to increased flood risk on or off site.</w:t>
      </w:r>
    </w:p>
    <w:p w:rsidR="00C357A2" w:rsidRPr="00C357A2" w:rsidRDefault="00C357A2" w:rsidP="00C357A2">
      <w:pPr>
        <w:ind w:left="720"/>
        <w:contextualSpacing/>
        <w:rPr>
          <w:rFonts w:cs="Arial"/>
          <w:sz w:val="24"/>
          <w:szCs w:val="24"/>
        </w:rPr>
      </w:pPr>
      <w:r w:rsidRPr="00C357A2">
        <w:rPr>
          <w:rFonts w:cs="Arial"/>
          <w:sz w:val="24"/>
          <w:szCs w:val="24"/>
        </w:rPr>
        <w:t xml:space="preserve">To undertake the sequential test an understanding of the type of development proposed would be required. National policy classifies development into vulnerability categories, guidance </w:t>
      </w:r>
      <w:proofErr w:type="gramStart"/>
      <w:r w:rsidRPr="00C357A2">
        <w:rPr>
          <w:rFonts w:cs="Arial"/>
          <w:sz w:val="24"/>
          <w:szCs w:val="24"/>
        </w:rPr>
        <w:t>is provided</w:t>
      </w:r>
      <w:proofErr w:type="gramEnd"/>
      <w:r w:rsidRPr="00C357A2">
        <w:rPr>
          <w:rFonts w:cs="Arial"/>
          <w:sz w:val="24"/>
          <w:szCs w:val="24"/>
        </w:rPr>
        <w:t xml:space="preserve"> for each vulnerability category by flood zone. </w:t>
      </w:r>
    </w:p>
    <w:p w:rsidR="00C357A2" w:rsidRPr="00C357A2" w:rsidRDefault="00C357A2" w:rsidP="00C357A2">
      <w:pPr>
        <w:ind w:left="720"/>
        <w:contextualSpacing/>
        <w:rPr>
          <w:rFonts w:cs="Arial"/>
          <w:sz w:val="24"/>
          <w:szCs w:val="24"/>
        </w:rPr>
      </w:pPr>
    </w:p>
    <w:p w:rsidR="00C357A2" w:rsidRPr="00C357A2" w:rsidRDefault="00C357A2" w:rsidP="00C357A2">
      <w:pPr>
        <w:keepNext/>
        <w:keepLines/>
        <w:spacing w:before="40" w:after="0"/>
        <w:outlineLvl w:val="1"/>
        <w:rPr>
          <w:rFonts w:eastAsiaTheme="majorEastAsia" w:cstheme="majorBidi"/>
          <w:b/>
          <w:sz w:val="24"/>
          <w:szCs w:val="24"/>
        </w:rPr>
      </w:pPr>
      <w:bookmarkStart w:id="10" w:name="_Toc126175764"/>
      <w:bookmarkStart w:id="11" w:name="_Toc126176759"/>
      <w:r w:rsidRPr="00C357A2">
        <w:rPr>
          <w:rFonts w:eastAsiaTheme="majorEastAsia" w:cstheme="majorBidi"/>
          <w:b/>
          <w:sz w:val="24"/>
          <w:szCs w:val="24"/>
        </w:rPr>
        <w:t>Bassetlaw District Council Conservation</w:t>
      </w:r>
      <w:bookmarkEnd w:id="10"/>
      <w:bookmarkEnd w:id="11"/>
    </w:p>
    <w:p w:rsidR="00C357A2" w:rsidRPr="00C357A2" w:rsidRDefault="00C357A2" w:rsidP="00C357A2"/>
    <w:p w:rsidR="00C357A2" w:rsidRPr="00C357A2" w:rsidRDefault="00C357A2" w:rsidP="00C357A2">
      <w:pPr>
        <w:ind w:left="720"/>
        <w:rPr>
          <w:rFonts w:cs="Arial"/>
          <w:sz w:val="24"/>
          <w:szCs w:val="24"/>
        </w:rPr>
      </w:pPr>
      <w:r w:rsidRPr="00C357A2">
        <w:rPr>
          <w:rFonts w:cs="Arial"/>
          <w:sz w:val="24"/>
          <w:szCs w:val="24"/>
        </w:rPr>
        <w:t xml:space="preserve">These buildings date to the 1960s and appear to be an example of the CLASP method of construction, typical of administrative buildings such as offices and schools in that period. Whilst their construction method is of a degree of interest, they are of a neutral character, and contribute little to the historic appearance of this part of the Conservation Area and setting of nearby Listed Buildings. On this basis, Conservation is </w:t>
      </w:r>
      <w:proofErr w:type="gramStart"/>
      <w:r w:rsidRPr="00C357A2">
        <w:rPr>
          <w:rFonts w:cs="Arial"/>
          <w:sz w:val="24"/>
          <w:szCs w:val="24"/>
        </w:rPr>
        <w:t>very much supportive</w:t>
      </w:r>
      <w:proofErr w:type="gramEnd"/>
      <w:r w:rsidRPr="00C357A2">
        <w:rPr>
          <w:rFonts w:cs="Arial"/>
          <w:sz w:val="24"/>
          <w:szCs w:val="24"/>
        </w:rPr>
        <w:t xml:space="preserve"> of the replacement of these buildings. This is subject to appropriate scale, materials, layout and design.</w:t>
      </w:r>
    </w:p>
    <w:p w:rsidR="00C357A2" w:rsidRPr="00C357A2" w:rsidRDefault="00C357A2" w:rsidP="00C357A2">
      <w:pPr>
        <w:rPr>
          <w:sz w:val="24"/>
          <w:szCs w:val="24"/>
        </w:rPr>
      </w:pPr>
    </w:p>
    <w:p w:rsidR="00C357A2" w:rsidRPr="00C357A2" w:rsidRDefault="00C357A2" w:rsidP="00C357A2">
      <w:pPr>
        <w:keepNext/>
        <w:keepLines/>
        <w:spacing w:before="40" w:after="0"/>
        <w:outlineLvl w:val="1"/>
        <w:rPr>
          <w:rFonts w:eastAsiaTheme="majorEastAsia" w:cstheme="majorBidi"/>
          <w:b/>
          <w:sz w:val="24"/>
          <w:szCs w:val="24"/>
        </w:rPr>
      </w:pPr>
      <w:bookmarkStart w:id="12" w:name="_Toc126175765"/>
      <w:bookmarkStart w:id="13" w:name="_Toc126176760"/>
      <w:r w:rsidRPr="00C357A2">
        <w:rPr>
          <w:rFonts w:eastAsiaTheme="majorEastAsia" w:cstheme="majorBidi"/>
          <w:b/>
          <w:sz w:val="24"/>
          <w:szCs w:val="24"/>
        </w:rPr>
        <w:t>Nottinghamshire County Council Highways</w:t>
      </w:r>
      <w:bookmarkEnd w:id="12"/>
      <w:bookmarkEnd w:id="13"/>
    </w:p>
    <w:p w:rsidR="00C357A2" w:rsidRPr="00C357A2" w:rsidRDefault="00C357A2" w:rsidP="00C357A2"/>
    <w:p w:rsidR="00C357A2" w:rsidRPr="00C357A2" w:rsidRDefault="00C357A2" w:rsidP="00C357A2">
      <w:pPr>
        <w:ind w:left="720"/>
        <w:rPr>
          <w:b/>
          <w:sz w:val="24"/>
          <w:szCs w:val="24"/>
        </w:rPr>
      </w:pPr>
      <w:r w:rsidRPr="00C357A2">
        <w:rPr>
          <w:rFonts w:eastAsia="Calibri" w:cs="Arial"/>
          <w:bCs/>
          <w:color w:val="000000"/>
          <w:sz w:val="24"/>
          <w:szCs w:val="24"/>
        </w:rPr>
        <w:t xml:space="preserve">The site is likely to </w:t>
      </w:r>
      <w:proofErr w:type="gramStart"/>
      <w:r w:rsidRPr="00C357A2">
        <w:rPr>
          <w:rFonts w:eastAsia="Calibri" w:cs="Arial"/>
          <w:bCs/>
          <w:color w:val="000000"/>
          <w:sz w:val="24"/>
          <w:szCs w:val="24"/>
        </w:rPr>
        <w:t>be considered</w:t>
      </w:r>
      <w:proofErr w:type="gramEnd"/>
      <w:r w:rsidRPr="00C357A2">
        <w:rPr>
          <w:rFonts w:eastAsia="Calibri" w:cs="Arial"/>
          <w:bCs/>
          <w:color w:val="000000"/>
          <w:sz w:val="24"/>
          <w:szCs w:val="24"/>
        </w:rPr>
        <w:t xml:space="preserve"> suitable for residential development subject to satisfactory details of access, parking, and servicing arrangements.</w:t>
      </w:r>
    </w:p>
    <w:p w:rsidR="00E54DF9" w:rsidRDefault="00E54DF9"/>
    <w:sectPr w:rsidR="00E54DF9" w:rsidSect="00906DFC">
      <w:footerReference w:type="default" r:id="rId10"/>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2C1" w:rsidRDefault="005622C1" w:rsidP="00906DFC">
      <w:pPr>
        <w:spacing w:after="0" w:line="240" w:lineRule="auto"/>
      </w:pPr>
      <w:r>
        <w:separator/>
      </w:r>
    </w:p>
  </w:endnote>
  <w:endnote w:type="continuationSeparator" w:id="0">
    <w:p w:rsidR="005622C1" w:rsidRDefault="005622C1" w:rsidP="00906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925508"/>
      <w:docPartObj>
        <w:docPartGallery w:val="Page Numbers (Bottom of Page)"/>
        <w:docPartUnique/>
      </w:docPartObj>
    </w:sdtPr>
    <w:sdtEndPr>
      <w:rPr>
        <w:noProof/>
      </w:rPr>
    </w:sdtEndPr>
    <w:sdtContent>
      <w:p w:rsidR="00906DFC" w:rsidRDefault="00906DFC">
        <w:pPr>
          <w:pStyle w:val="Footer"/>
          <w:jc w:val="right"/>
        </w:pPr>
        <w:r>
          <w:fldChar w:fldCharType="begin"/>
        </w:r>
        <w:r>
          <w:instrText xml:space="preserve"> PAGE   \* MERGEFORMAT </w:instrText>
        </w:r>
        <w:r>
          <w:fldChar w:fldCharType="separate"/>
        </w:r>
        <w:r w:rsidR="004B529D">
          <w:rPr>
            <w:noProof/>
          </w:rPr>
          <w:t>3</w:t>
        </w:r>
        <w:r>
          <w:rPr>
            <w:noProof/>
          </w:rPr>
          <w:fldChar w:fldCharType="end"/>
        </w:r>
      </w:p>
    </w:sdtContent>
  </w:sdt>
  <w:p w:rsidR="00906DFC" w:rsidRDefault="00906D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2C1" w:rsidRDefault="005622C1" w:rsidP="00906DFC">
      <w:pPr>
        <w:spacing w:after="0" w:line="240" w:lineRule="auto"/>
      </w:pPr>
      <w:r>
        <w:separator/>
      </w:r>
    </w:p>
  </w:footnote>
  <w:footnote w:type="continuationSeparator" w:id="0">
    <w:p w:rsidR="005622C1" w:rsidRDefault="005622C1" w:rsidP="00906D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7A2"/>
    <w:rsid w:val="00296114"/>
    <w:rsid w:val="004B529D"/>
    <w:rsid w:val="005622C1"/>
    <w:rsid w:val="005B28AC"/>
    <w:rsid w:val="00906DFC"/>
    <w:rsid w:val="00AD2FE4"/>
    <w:rsid w:val="00C357A2"/>
    <w:rsid w:val="00C4087D"/>
    <w:rsid w:val="00E54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706A9"/>
  <w15:chartTrackingRefBased/>
  <w15:docId w15:val="{939A3E97-3478-422D-8AC7-7C25EEB7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DFC"/>
  </w:style>
  <w:style w:type="paragraph" w:styleId="Footer">
    <w:name w:val="footer"/>
    <w:basedOn w:val="Normal"/>
    <w:link w:val="FooterChar"/>
    <w:uiPriority w:val="99"/>
    <w:unhideWhenUsed/>
    <w:rsid w:val="00906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DFC"/>
  </w:style>
  <w:style w:type="character" w:styleId="Hyperlink">
    <w:name w:val="Hyperlink"/>
    <w:basedOn w:val="DefaultParagraphFont"/>
    <w:uiPriority w:val="99"/>
    <w:semiHidden/>
    <w:unhideWhenUsed/>
    <w:rsid w:val="00C408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52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bassetlaw.gov.uk/media/7585/retford-town-centre-np-site-assessment-report-aeco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Bassetlaw District Council</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Retford Town Centre Neighbourhood Plan - Maps and Assessments for Potential Development Site NP05</dc:title>
  <dc:subject/>
  <dc:creator>Will Wilson</dc:creator>
  <cp:keywords/>
  <dc:description/>
  <cp:lastModifiedBy>Will Wilson</cp:lastModifiedBy>
  <cp:revision>5</cp:revision>
  <dcterms:created xsi:type="dcterms:W3CDTF">2023-02-01T21:28:00Z</dcterms:created>
  <dcterms:modified xsi:type="dcterms:W3CDTF">2023-02-02T09:14:00Z</dcterms:modified>
</cp:coreProperties>
</file>