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D2C" w:rsidRPr="00704D2C" w:rsidRDefault="00704D2C" w:rsidP="00704D2C">
      <w:pPr>
        <w:widowControl w:val="0"/>
        <w:autoSpaceDE w:val="0"/>
        <w:autoSpaceDN w:val="0"/>
        <w:spacing w:after="0" w:line="240" w:lineRule="auto"/>
        <w:rPr>
          <w:rFonts w:ascii="Times New Roman" w:eastAsia="Arial" w:hAnsi="Arial" w:cs="Arial"/>
          <w:sz w:val="20"/>
          <w:szCs w:val="16"/>
          <w:lang w:val="en-US"/>
        </w:rPr>
      </w:pPr>
    </w:p>
    <w:p w:rsidR="00704D2C" w:rsidRPr="00704D2C" w:rsidRDefault="00704D2C" w:rsidP="00704D2C">
      <w:pPr>
        <w:widowControl w:val="0"/>
        <w:autoSpaceDE w:val="0"/>
        <w:autoSpaceDN w:val="0"/>
        <w:spacing w:after="0" w:line="240" w:lineRule="auto"/>
        <w:rPr>
          <w:rFonts w:ascii="Times New Roman" w:eastAsia="Arial" w:hAnsi="Arial" w:cs="Arial"/>
          <w:sz w:val="20"/>
          <w:szCs w:val="16"/>
          <w:lang w:val="en-US"/>
        </w:rPr>
      </w:pPr>
    </w:p>
    <w:p w:rsidR="00704D2C" w:rsidRPr="00704D2C" w:rsidRDefault="00704D2C" w:rsidP="00704D2C">
      <w:pPr>
        <w:widowControl w:val="0"/>
        <w:autoSpaceDE w:val="0"/>
        <w:autoSpaceDN w:val="0"/>
        <w:spacing w:after="0" w:line="240" w:lineRule="auto"/>
        <w:rPr>
          <w:rFonts w:ascii="Times New Roman" w:eastAsia="Arial" w:hAnsi="Arial" w:cs="Arial"/>
          <w:sz w:val="20"/>
          <w:szCs w:val="16"/>
          <w:lang w:val="en-US"/>
        </w:rPr>
      </w:pPr>
    </w:p>
    <w:p w:rsidR="00704D2C" w:rsidRPr="00704D2C" w:rsidRDefault="00704D2C" w:rsidP="00704D2C">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704D2C" w:rsidRPr="00704D2C" w:rsidRDefault="00704D2C" w:rsidP="00704D2C">
      <w:pPr>
        <w:widowControl w:val="0"/>
        <w:autoSpaceDE w:val="0"/>
        <w:autoSpaceDN w:val="0"/>
        <w:spacing w:before="188" w:after="0" w:line="240" w:lineRule="auto"/>
        <w:ind w:left="112"/>
        <w:rPr>
          <w:rFonts w:ascii="Calibri" w:eastAsia="Arial" w:hAnsi="Arial" w:cs="Arial"/>
          <w:b/>
          <w:sz w:val="44"/>
          <w:lang w:val="en-US"/>
        </w:rPr>
      </w:pPr>
    </w:p>
    <w:p w:rsidR="00704D2C" w:rsidRPr="00704D2C" w:rsidRDefault="00704D2C" w:rsidP="00704D2C">
      <w:pPr>
        <w:widowControl w:val="0"/>
        <w:autoSpaceDE w:val="0"/>
        <w:autoSpaceDN w:val="0"/>
        <w:spacing w:before="188" w:after="0" w:line="240" w:lineRule="auto"/>
        <w:ind w:left="112"/>
        <w:rPr>
          <w:rFonts w:ascii="Calibri" w:eastAsia="Arial" w:hAnsi="Arial" w:cs="Arial"/>
          <w:b/>
          <w:sz w:val="44"/>
          <w:lang w:val="en-US"/>
        </w:rPr>
      </w:pPr>
    </w:p>
    <w:p w:rsidR="00704D2C" w:rsidRPr="00704D2C" w:rsidRDefault="00704D2C" w:rsidP="00704D2C">
      <w:pPr>
        <w:widowControl w:val="0"/>
        <w:autoSpaceDE w:val="0"/>
        <w:autoSpaceDN w:val="0"/>
        <w:spacing w:before="188" w:after="0" w:line="240" w:lineRule="auto"/>
        <w:ind w:left="112"/>
        <w:rPr>
          <w:rFonts w:ascii="Calibri" w:eastAsia="Arial" w:hAnsi="Arial" w:cs="Arial"/>
          <w:b/>
          <w:sz w:val="44"/>
          <w:lang w:val="en-US"/>
        </w:rPr>
      </w:pPr>
      <w:r w:rsidRPr="00704D2C">
        <w:rPr>
          <w:rFonts w:ascii="Calibri" w:eastAsia="Arial" w:hAnsi="Arial" w:cs="Arial"/>
          <w:b/>
          <w:sz w:val="44"/>
          <w:lang w:val="en-US"/>
        </w:rPr>
        <w:t>Retford Town Centre Neighbourhood Plan</w:t>
      </w:r>
    </w:p>
    <w:p w:rsidR="00704D2C" w:rsidRPr="00704D2C" w:rsidRDefault="00704D2C" w:rsidP="00704D2C">
      <w:pPr>
        <w:widowControl w:val="0"/>
        <w:autoSpaceDE w:val="0"/>
        <w:autoSpaceDN w:val="0"/>
        <w:spacing w:after="0" w:line="240" w:lineRule="auto"/>
        <w:rPr>
          <w:rFonts w:ascii="Calibri" w:eastAsia="Arial" w:hAnsi="Arial" w:cs="Arial"/>
          <w:b/>
          <w:sz w:val="44"/>
          <w:szCs w:val="16"/>
          <w:lang w:val="en-US"/>
        </w:rPr>
      </w:pPr>
    </w:p>
    <w:p w:rsidR="00704D2C" w:rsidRPr="00704D2C" w:rsidRDefault="00704D2C" w:rsidP="00704D2C">
      <w:pPr>
        <w:widowControl w:val="0"/>
        <w:autoSpaceDE w:val="0"/>
        <w:autoSpaceDN w:val="0"/>
        <w:spacing w:before="2" w:after="0" w:line="240" w:lineRule="auto"/>
        <w:rPr>
          <w:rFonts w:ascii="Calibri" w:eastAsia="Arial" w:hAnsi="Arial" w:cs="Arial"/>
          <w:b/>
          <w:sz w:val="33"/>
          <w:szCs w:val="16"/>
          <w:lang w:val="en-US"/>
        </w:rPr>
      </w:pPr>
    </w:p>
    <w:p w:rsidR="00704D2C" w:rsidRPr="00704D2C" w:rsidRDefault="00704D2C" w:rsidP="00704D2C">
      <w:pPr>
        <w:widowControl w:val="0"/>
        <w:autoSpaceDE w:val="0"/>
        <w:autoSpaceDN w:val="0"/>
        <w:spacing w:after="0" w:line="240" w:lineRule="auto"/>
        <w:ind w:left="112"/>
        <w:rPr>
          <w:rFonts w:ascii="Calibri" w:eastAsia="Arial" w:hAnsi="Calibri" w:cs="Arial"/>
          <w:b/>
          <w:sz w:val="44"/>
          <w:lang w:val="en-US"/>
        </w:rPr>
      </w:pPr>
      <w:r w:rsidRPr="00704D2C">
        <w:rPr>
          <w:rFonts w:ascii="Calibri" w:eastAsia="Arial" w:hAnsi="Calibri" w:cs="Arial"/>
          <w:b/>
          <w:sz w:val="44"/>
          <w:lang w:val="en-US"/>
        </w:rPr>
        <w:t xml:space="preserve">Potential Development Site NP03: Land adjacent to </w:t>
      </w:r>
      <w:proofErr w:type="spellStart"/>
      <w:r w:rsidRPr="00704D2C">
        <w:rPr>
          <w:rFonts w:ascii="Calibri" w:eastAsia="Arial" w:hAnsi="Calibri" w:cs="Arial"/>
          <w:b/>
          <w:sz w:val="44"/>
          <w:lang w:val="en-US"/>
        </w:rPr>
        <w:t>Tenterflat</w:t>
      </w:r>
      <w:proofErr w:type="spellEnd"/>
      <w:r w:rsidRPr="00704D2C">
        <w:rPr>
          <w:rFonts w:ascii="Calibri" w:eastAsia="Arial" w:hAnsi="Calibri" w:cs="Arial"/>
          <w:b/>
          <w:sz w:val="44"/>
          <w:lang w:val="en-US"/>
        </w:rPr>
        <w:t xml:space="preserve"> Walk</w:t>
      </w:r>
    </w:p>
    <w:p w:rsidR="00704D2C" w:rsidRPr="00704D2C" w:rsidRDefault="00704D2C" w:rsidP="00704D2C">
      <w:pPr>
        <w:widowControl w:val="0"/>
        <w:autoSpaceDE w:val="0"/>
        <w:autoSpaceDN w:val="0"/>
        <w:spacing w:after="0" w:line="240" w:lineRule="auto"/>
        <w:ind w:left="112"/>
        <w:rPr>
          <w:rFonts w:ascii="Calibri" w:eastAsia="Arial" w:hAnsi="Arial" w:cs="Arial"/>
          <w:b/>
          <w:sz w:val="60"/>
          <w:szCs w:val="16"/>
          <w:lang w:val="en-US"/>
        </w:rPr>
      </w:pPr>
    </w:p>
    <w:p w:rsidR="00704D2C" w:rsidRPr="00704D2C" w:rsidRDefault="00704D2C" w:rsidP="00704D2C">
      <w:pPr>
        <w:widowControl w:val="0"/>
        <w:autoSpaceDE w:val="0"/>
        <w:autoSpaceDN w:val="0"/>
        <w:spacing w:after="0" w:line="240" w:lineRule="auto"/>
        <w:ind w:left="112"/>
        <w:rPr>
          <w:rFonts w:ascii="Calibri" w:eastAsia="Arial" w:hAnsi="Arial" w:cs="Arial"/>
          <w:sz w:val="44"/>
          <w:lang w:val="en-US"/>
        </w:rPr>
      </w:pPr>
      <w:r w:rsidRPr="00704D2C">
        <w:rPr>
          <w:rFonts w:ascii="Calibri" w:eastAsia="Arial" w:hAnsi="Arial" w:cs="Arial"/>
          <w:sz w:val="44"/>
          <w:lang w:val="en-US"/>
        </w:rPr>
        <w:t>Maps and Technical Assessments</w:t>
      </w:r>
    </w:p>
    <w:p w:rsidR="00704D2C" w:rsidRPr="00704D2C" w:rsidRDefault="00704D2C" w:rsidP="00704D2C">
      <w:pPr>
        <w:widowControl w:val="0"/>
        <w:autoSpaceDE w:val="0"/>
        <w:autoSpaceDN w:val="0"/>
        <w:spacing w:after="0" w:line="240" w:lineRule="auto"/>
        <w:rPr>
          <w:rFonts w:ascii="Calibri" w:eastAsia="Arial" w:hAnsi="Arial" w:cs="Arial"/>
          <w:sz w:val="44"/>
          <w:szCs w:val="16"/>
          <w:lang w:val="en-US"/>
        </w:rPr>
      </w:pPr>
    </w:p>
    <w:p w:rsidR="00704D2C" w:rsidRPr="00704D2C" w:rsidRDefault="00704D2C" w:rsidP="00704D2C">
      <w:pPr>
        <w:widowControl w:val="0"/>
        <w:autoSpaceDE w:val="0"/>
        <w:autoSpaceDN w:val="0"/>
        <w:spacing w:before="1" w:after="0" w:line="240" w:lineRule="auto"/>
        <w:rPr>
          <w:rFonts w:ascii="Calibri" w:eastAsia="Arial" w:hAnsi="Arial" w:cs="Arial"/>
          <w:sz w:val="33"/>
          <w:szCs w:val="16"/>
          <w:lang w:val="en-US"/>
        </w:rPr>
      </w:pPr>
    </w:p>
    <w:p w:rsidR="00704D2C" w:rsidRPr="00704D2C" w:rsidRDefault="00704D2C" w:rsidP="00704D2C">
      <w:pPr>
        <w:widowControl w:val="0"/>
        <w:autoSpaceDE w:val="0"/>
        <w:autoSpaceDN w:val="0"/>
        <w:spacing w:before="1" w:after="0" w:line="240" w:lineRule="auto"/>
        <w:ind w:left="112"/>
        <w:rPr>
          <w:rFonts w:ascii="Calibri" w:eastAsia="Arial" w:hAnsi="Arial" w:cs="Arial"/>
          <w:sz w:val="44"/>
          <w:lang w:val="en-US"/>
        </w:rPr>
      </w:pPr>
      <w:r w:rsidRPr="00704D2C">
        <w:rPr>
          <w:rFonts w:ascii="Calibri" w:eastAsia="Arial" w:hAnsi="Arial" w:cs="Arial"/>
          <w:sz w:val="44"/>
          <w:lang w:val="en-US"/>
        </w:rPr>
        <w:t>February 2023</w:t>
      </w:r>
    </w:p>
    <w:p w:rsidR="00704D2C" w:rsidRPr="00704D2C" w:rsidRDefault="00704D2C" w:rsidP="00704D2C">
      <w:pPr>
        <w:widowControl w:val="0"/>
        <w:autoSpaceDE w:val="0"/>
        <w:autoSpaceDN w:val="0"/>
        <w:spacing w:after="0" w:line="240" w:lineRule="auto"/>
        <w:rPr>
          <w:rFonts w:ascii="Calibri" w:eastAsia="Arial" w:hAnsi="Arial" w:cs="Arial"/>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sz w:val="20"/>
          <w:szCs w:val="16"/>
          <w:lang w:val="en-US"/>
        </w:rPr>
      </w:pPr>
    </w:p>
    <w:p w:rsidR="00704D2C" w:rsidRPr="00704D2C" w:rsidRDefault="00704D2C" w:rsidP="00704D2C">
      <w:pPr>
        <w:widowControl w:val="0"/>
        <w:autoSpaceDE w:val="0"/>
        <w:autoSpaceDN w:val="0"/>
        <w:spacing w:before="1" w:after="0" w:line="240" w:lineRule="auto"/>
        <w:rPr>
          <w:rFonts w:ascii="Calibri" w:eastAsia="Arial" w:hAnsi="Arial" w:cs="Arial"/>
          <w:sz w:val="16"/>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after="0" w:line="240" w:lineRule="auto"/>
        <w:rPr>
          <w:rFonts w:ascii="Calibri" w:eastAsia="Arial" w:hAnsi="Arial" w:cs="Arial"/>
          <w:b/>
          <w:sz w:val="20"/>
          <w:szCs w:val="16"/>
          <w:lang w:val="en-US"/>
        </w:rPr>
      </w:pPr>
    </w:p>
    <w:p w:rsidR="00704D2C" w:rsidRPr="00704D2C" w:rsidRDefault="00704D2C" w:rsidP="00704D2C">
      <w:pPr>
        <w:widowControl w:val="0"/>
        <w:autoSpaceDE w:val="0"/>
        <w:autoSpaceDN w:val="0"/>
        <w:spacing w:before="7" w:after="0" w:line="240" w:lineRule="auto"/>
        <w:jc w:val="center"/>
        <w:rPr>
          <w:rFonts w:ascii="Calibri" w:eastAsia="Arial" w:hAnsi="Arial" w:cs="Arial"/>
          <w:b/>
          <w:sz w:val="19"/>
          <w:szCs w:val="16"/>
          <w:lang w:val="en-US"/>
        </w:rPr>
      </w:pPr>
      <w:r w:rsidRPr="00704D2C">
        <w:rPr>
          <w:rFonts w:ascii="Arial" w:eastAsia="Arial" w:hAnsi="Arial" w:cs="Arial"/>
          <w:noProof/>
          <w:sz w:val="16"/>
          <w:szCs w:val="16"/>
          <w:lang w:eastAsia="en-GB"/>
        </w:rPr>
        <w:drawing>
          <wp:inline distT="0" distB="0" distL="0" distR="0" wp14:anchorId="7C89DE99" wp14:editId="502D840C">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p>
    <w:p w:rsidR="00704D2C" w:rsidRPr="00704D2C" w:rsidRDefault="00704D2C" w:rsidP="00704D2C">
      <w:pPr>
        <w:widowControl w:val="0"/>
        <w:autoSpaceDE w:val="0"/>
        <w:autoSpaceDN w:val="0"/>
        <w:spacing w:before="7" w:after="0" w:line="240" w:lineRule="auto"/>
        <w:jc w:val="center"/>
        <w:rPr>
          <w:rFonts w:ascii="Calibri" w:eastAsia="Arial" w:hAnsi="Arial" w:cs="Arial"/>
          <w:b/>
          <w:sz w:val="19"/>
          <w:szCs w:val="16"/>
          <w:lang w:val="en-US"/>
        </w:rPr>
      </w:pPr>
    </w:p>
    <w:p w:rsidR="00704D2C" w:rsidRDefault="00704D2C" w:rsidP="00704D2C">
      <w:pPr>
        <w:keepNext/>
        <w:keepLines/>
        <w:spacing w:before="40" w:after="0"/>
        <w:outlineLvl w:val="1"/>
        <w:rPr>
          <w:rFonts w:eastAsiaTheme="majorEastAsia" w:cstheme="majorBidi"/>
          <w:b/>
          <w:sz w:val="24"/>
          <w:szCs w:val="24"/>
        </w:rPr>
      </w:pPr>
      <w:bookmarkStart w:id="1" w:name="_Toc126175746"/>
      <w:bookmarkStart w:id="2" w:name="_Toc126176741"/>
      <w:r w:rsidRPr="00704D2C">
        <w:rPr>
          <w:rFonts w:eastAsiaTheme="majorEastAsia" w:cstheme="majorBidi"/>
          <w:b/>
          <w:sz w:val="24"/>
          <w:szCs w:val="24"/>
        </w:rPr>
        <w:lastRenderedPageBreak/>
        <w:t>Site Plan</w:t>
      </w:r>
      <w:bookmarkEnd w:id="1"/>
      <w:bookmarkEnd w:id="2"/>
    </w:p>
    <w:p w:rsidR="003D547E" w:rsidRPr="00704D2C" w:rsidRDefault="003D547E" w:rsidP="00704D2C">
      <w:pPr>
        <w:keepNext/>
        <w:keepLines/>
        <w:spacing w:before="40" w:after="0"/>
        <w:outlineLvl w:val="1"/>
        <w:rPr>
          <w:rFonts w:eastAsiaTheme="majorEastAsia" w:cstheme="majorBidi"/>
          <w:b/>
          <w:sz w:val="24"/>
          <w:szCs w:val="24"/>
        </w:rPr>
      </w:pPr>
    </w:p>
    <w:p w:rsidR="00704D2C" w:rsidRPr="00704D2C" w:rsidRDefault="00704D2C" w:rsidP="00704D2C"/>
    <w:p w:rsidR="00704D2C" w:rsidRPr="00704D2C" w:rsidRDefault="00704D2C" w:rsidP="00704D2C">
      <w:pPr>
        <w:rPr>
          <w:b/>
          <w:sz w:val="32"/>
          <w:szCs w:val="32"/>
        </w:rPr>
      </w:pPr>
      <w:r w:rsidRPr="00704D2C">
        <w:rPr>
          <w:b/>
          <w:noProof/>
          <w:sz w:val="32"/>
          <w:szCs w:val="32"/>
          <w:lang w:eastAsia="en-GB"/>
        </w:rPr>
        <w:drawing>
          <wp:inline distT="0" distB="0" distL="0" distR="0" wp14:anchorId="7D2FB2EC" wp14:editId="29EFFD86">
            <wp:extent cx="5720080" cy="5720080"/>
            <wp:effectExtent l="0" t="0" r="0" b="0"/>
            <wp:docPr id="4" name="Picture 4" title="Site plan for potential development site N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01\AppData\Local\Microsoft\Windows\INetCache\Content.Word\NP0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20080" cy="5720080"/>
                    </a:xfrm>
                    <a:prstGeom prst="rect">
                      <a:avLst/>
                    </a:prstGeom>
                    <a:noFill/>
                    <a:ln>
                      <a:noFill/>
                    </a:ln>
                  </pic:spPr>
                </pic:pic>
              </a:graphicData>
            </a:graphic>
          </wp:inline>
        </w:drawing>
      </w:r>
    </w:p>
    <w:p w:rsidR="00704D2C" w:rsidRPr="00704D2C" w:rsidRDefault="00704D2C" w:rsidP="00704D2C">
      <w:pPr>
        <w:keepNext/>
        <w:keepLines/>
        <w:spacing w:before="40" w:after="0"/>
        <w:outlineLvl w:val="1"/>
        <w:rPr>
          <w:rFonts w:eastAsiaTheme="majorEastAsia" w:cstheme="majorBidi"/>
          <w:b/>
          <w:sz w:val="24"/>
          <w:szCs w:val="24"/>
        </w:rPr>
      </w:pPr>
      <w:bookmarkStart w:id="3" w:name="_Toc126175747"/>
      <w:bookmarkStart w:id="4" w:name="_Toc126176742"/>
      <w:r w:rsidRPr="00704D2C">
        <w:rPr>
          <w:rFonts w:eastAsiaTheme="majorEastAsia" w:cstheme="majorBidi"/>
          <w:b/>
          <w:sz w:val="24"/>
          <w:szCs w:val="24"/>
        </w:rPr>
        <w:lastRenderedPageBreak/>
        <w:t>Constraints Plan</w:t>
      </w:r>
      <w:bookmarkStart w:id="5" w:name="_GoBack"/>
      <w:bookmarkEnd w:id="3"/>
      <w:bookmarkEnd w:id="4"/>
      <w:bookmarkEnd w:id="5"/>
    </w:p>
    <w:p w:rsidR="00704D2C" w:rsidRPr="00704D2C" w:rsidRDefault="00704D2C" w:rsidP="00704D2C">
      <w:pPr>
        <w:rPr>
          <w:b/>
          <w:sz w:val="32"/>
          <w:szCs w:val="32"/>
        </w:rPr>
      </w:pPr>
      <w:r w:rsidRPr="00704D2C">
        <w:rPr>
          <w:b/>
          <w:noProof/>
          <w:sz w:val="32"/>
          <w:szCs w:val="32"/>
          <w:lang w:eastAsia="en-GB"/>
        </w:rPr>
        <w:drawing>
          <wp:inline distT="0" distB="0" distL="0" distR="0" wp14:anchorId="76DDC5D5" wp14:editId="34FB7983">
            <wp:extent cx="5916843" cy="8368029"/>
            <wp:effectExtent l="0" t="0" r="8255" b="0"/>
            <wp:docPr id="5" name="Picture 5" title="Constraints plan for potential development site N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01\AppData\Local\Microsoft\Windows\INetCache\Content.Word\NP01 constraint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6843" cy="8368029"/>
                    </a:xfrm>
                    <a:prstGeom prst="rect">
                      <a:avLst/>
                    </a:prstGeom>
                    <a:noFill/>
                    <a:ln>
                      <a:noFill/>
                    </a:ln>
                  </pic:spPr>
                </pic:pic>
              </a:graphicData>
            </a:graphic>
          </wp:inline>
        </w:drawing>
      </w:r>
    </w:p>
    <w:p w:rsidR="00704D2C" w:rsidRPr="00704D2C" w:rsidRDefault="00704D2C" w:rsidP="00704D2C"/>
    <w:p w:rsidR="00704D2C" w:rsidRPr="00704D2C" w:rsidRDefault="00704D2C" w:rsidP="00704D2C">
      <w:pPr>
        <w:keepNext/>
        <w:keepLines/>
        <w:spacing w:before="40" w:after="0"/>
        <w:outlineLvl w:val="1"/>
        <w:rPr>
          <w:rFonts w:eastAsiaTheme="majorEastAsia" w:cstheme="majorBidi"/>
          <w:b/>
          <w:sz w:val="24"/>
          <w:szCs w:val="24"/>
        </w:rPr>
      </w:pPr>
      <w:bookmarkStart w:id="6" w:name="_Toc126175748"/>
      <w:bookmarkStart w:id="7" w:name="_Toc126176743"/>
      <w:r w:rsidRPr="00704D2C">
        <w:rPr>
          <w:rFonts w:eastAsiaTheme="majorEastAsia" w:cstheme="majorBidi"/>
          <w:b/>
          <w:sz w:val="24"/>
          <w:szCs w:val="24"/>
        </w:rPr>
        <w:lastRenderedPageBreak/>
        <w:t>AECOM Site Assessment Report, 2022</w:t>
      </w:r>
      <w:bookmarkEnd w:id="6"/>
      <w:bookmarkEnd w:id="7"/>
    </w:p>
    <w:p w:rsidR="00704D2C" w:rsidRPr="00704D2C" w:rsidRDefault="00704D2C" w:rsidP="00704D2C"/>
    <w:p w:rsidR="00704D2C" w:rsidRDefault="00704D2C" w:rsidP="00704D2C">
      <w:pPr>
        <w:ind w:left="720"/>
        <w:rPr>
          <w:b/>
          <w:sz w:val="24"/>
          <w:szCs w:val="24"/>
        </w:rPr>
      </w:pPr>
      <w:r w:rsidRPr="00704D2C">
        <w:rPr>
          <w:b/>
          <w:sz w:val="24"/>
          <w:szCs w:val="24"/>
        </w:rPr>
        <w:t>Score: Amber</w:t>
      </w:r>
    </w:p>
    <w:p w:rsidR="002C0A2B" w:rsidRPr="002C0A2B" w:rsidRDefault="002C0A2B" w:rsidP="002C0A2B">
      <w:pPr>
        <w:ind w:left="720"/>
        <w:rPr>
          <w:rFonts w:eastAsia="Calibri" w:cs="Arial"/>
          <w:b/>
          <w:bCs/>
          <w:color w:val="000000"/>
          <w:sz w:val="24"/>
          <w:szCs w:val="24"/>
        </w:rPr>
      </w:pPr>
      <w:r>
        <w:rPr>
          <w:rFonts w:eastAsia="Calibri" w:cs="Arial"/>
          <w:b/>
          <w:bCs/>
          <w:color w:val="000000"/>
          <w:sz w:val="24"/>
          <w:szCs w:val="24"/>
        </w:rPr>
        <w:t>Conclusions (please see</w:t>
      </w:r>
      <w:hyperlink r:id="rId9" w:history="1">
        <w:r>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704D2C" w:rsidRPr="00704D2C" w:rsidRDefault="00704D2C" w:rsidP="00704D2C">
      <w:pPr>
        <w:shd w:val="clear" w:color="auto" w:fill="FFFFFF" w:themeFill="background1"/>
        <w:ind w:left="720"/>
        <w:rPr>
          <w:rFonts w:cs="Arial"/>
          <w:sz w:val="24"/>
          <w:szCs w:val="24"/>
        </w:rPr>
      </w:pPr>
      <w:r w:rsidRPr="00704D2C">
        <w:rPr>
          <w:rFonts w:cs="Arial"/>
          <w:sz w:val="24"/>
          <w:szCs w:val="24"/>
        </w:rPr>
        <w:t xml:space="preserve">This is a large site comprising a former (now-demolished) garage and an overgrown area to the north between </w:t>
      </w:r>
      <w:proofErr w:type="spellStart"/>
      <w:r w:rsidRPr="00704D2C">
        <w:rPr>
          <w:rFonts w:cs="Arial"/>
          <w:sz w:val="24"/>
          <w:szCs w:val="24"/>
        </w:rPr>
        <w:t>Tenterflat</w:t>
      </w:r>
      <w:proofErr w:type="spellEnd"/>
      <w:r w:rsidRPr="00704D2C">
        <w:rPr>
          <w:rFonts w:cs="Arial"/>
          <w:sz w:val="24"/>
          <w:szCs w:val="24"/>
        </w:rPr>
        <w:t xml:space="preserve"> Walk and Amcott Way. It is within a SSSI Impact Risk Zone and consultation with Natural England is required for residential developments of 50 or more dwellings. The Neighbourhood Plan ecological survey identifies the northern part of the site as providing foraging habitat for badgers and as formerly providing a habitat for hedgehogs. It may be possible to restore or enhance biodiversity by incorporating managed green space into new development. </w:t>
      </w:r>
    </w:p>
    <w:p w:rsidR="00704D2C" w:rsidRPr="00704D2C" w:rsidRDefault="00704D2C" w:rsidP="00704D2C">
      <w:pPr>
        <w:shd w:val="clear" w:color="auto" w:fill="FFFFFF" w:themeFill="background1"/>
        <w:ind w:left="720"/>
        <w:rPr>
          <w:rFonts w:cs="Arial"/>
          <w:sz w:val="24"/>
          <w:szCs w:val="24"/>
        </w:rPr>
      </w:pPr>
      <w:r w:rsidRPr="00704D2C">
        <w:rPr>
          <w:rFonts w:cs="Arial"/>
          <w:sz w:val="24"/>
          <w:szCs w:val="24"/>
        </w:rPr>
        <w:t xml:space="preserve">The entire site is within the Conservation Area, and there are a number of listed buildings and undesignated heritage assets on </w:t>
      </w:r>
      <w:proofErr w:type="gramStart"/>
      <w:r w:rsidRPr="00704D2C">
        <w:rPr>
          <w:rFonts w:cs="Arial"/>
          <w:sz w:val="24"/>
          <w:szCs w:val="24"/>
        </w:rPr>
        <w:t>Bridgegate which</w:t>
      </w:r>
      <w:proofErr w:type="gramEnd"/>
      <w:r w:rsidRPr="00704D2C">
        <w:rPr>
          <w:rFonts w:cs="Arial"/>
          <w:sz w:val="24"/>
          <w:szCs w:val="24"/>
        </w:rPr>
        <w:t xml:space="preserve"> runs along the southern boundary of the site. Any new development on the southern part of the site has the potential for adverse impact </w:t>
      </w:r>
      <w:proofErr w:type="gramStart"/>
      <w:r w:rsidRPr="00704D2C">
        <w:rPr>
          <w:rFonts w:cs="Arial"/>
          <w:sz w:val="24"/>
          <w:szCs w:val="24"/>
        </w:rPr>
        <w:t>on  heritage</w:t>
      </w:r>
      <w:proofErr w:type="gramEnd"/>
      <w:r w:rsidRPr="00704D2C">
        <w:rPr>
          <w:rFonts w:cs="Arial"/>
          <w:sz w:val="24"/>
          <w:szCs w:val="24"/>
        </w:rPr>
        <w:t xml:space="preserve"> assets, and sensitive design would be required to ensure that the historic environment is enhanced. </w:t>
      </w:r>
    </w:p>
    <w:p w:rsidR="00704D2C" w:rsidRPr="00704D2C" w:rsidRDefault="00704D2C" w:rsidP="00704D2C">
      <w:pPr>
        <w:shd w:val="clear" w:color="auto" w:fill="FFFFFF" w:themeFill="background1"/>
        <w:ind w:left="720"/>
        <w:rPr>
          <w:rFonts w:cs="Arial"/>
          <w:sz w:val="24"/>
          <w:szCs w:val="24"/>
        </w:rPr>
      </w:pPr>
      <w:r w:rsidRPr="00704D2C">
        <w:rPr>
          <w:rFonts w:cs="Arial"/>
          <w:sz w:val="24"/>
          <w:szCs w:val="24"/>
        </w:rPr>
        <w:t>The entire site is at risk of flooding (Flood Zones 2 and 3), and a site-specific flood risk assessment is likely to be required to support proposals for development, as are on-site flood mitigation measures. The northern (undeveloped) part of the site is in Flood Zone 3 and if there were alternative sites for housing the sequential test would not be met, but it could be allocated for other less vulnerable uses (e.g. retail, commercial or leisure uses). There is potential for noise and atmospheric pollution from Amcott Way to the north, which could be addressed through a landscaped buffer and siting of new development away from the northern boundary.</w:t>
      </w:r>
    </w:p>
    <w:p w:rsidR="00704D2C" w:rsidRPr="00704D2C" w:rsidRDefault="00704D2C" w:rsidP="00704D2C">
      <w:pPr>
        <w:shd w:val="clear" w:color="auto" w:fill="FFFFFF" w:themeFill="background1"/>
        <w:ind w:left="720"/>
        <w:rPr>
          <w:rFonts w:cs="Arial"/>
          <w:sz w:val="24"/>
          <w:szCs w:val="24"/>
        </w:rPr>
      </w:pPr>
      <w:r w:rsidRPr="00704D2C">
        <w:rPr>
          <w:rFonts w:cs="Arial"/>
          <w:sz w:val="24"/>
          <w:szCs w:val="24"/>
        </w:rPr>
        <w:t>The site is potentially suitable for allocation for residential or mixed-use development, subject to mitigation of the identified constraints.</w:t>
      </w:r>
    </w:p>
    <w:p w:rsidR="00704D2C" w:rsidRPr="00704D2C" w:rsidRDefault="00704D2C" w:rsidP="00704D2C">
      <w:pPr>
        <w:ind w:firstLine="720"/>
        <w:rPr>
          <w:b/>
          <w:sz w:val="24"/>
          <w:szCs w:val="24"/>
        </w:rPr>
      </w:pPr>
    </w:p>
    <w:p w:rsidR="00704D2C" w:rsidRPr="00704D2C" w:rsidRDefault="00704D2C" w:rsidP="00704D2C">
      <w:pPr>
        <w:keepNext/>
        <w:keepLines/>
        <w:spacing w:before="40" w:after="0"/>
        <w:outlineLvl w:val="1"/>
        <w:rPr>
          <w:rFonts w:eastAsiaTheme="majorEastAsia" w:cstheme="majorBidi"/>
          <w:b/>
          <w:sz w:val="24"/>
          <w:szCs w:val="24"/>
        </w:rPr>
      </w:pPr>
      <w:bookmarkStart w:id="8" w:name="_Toc126175749"/>
      <w:bookmarkStart w:id="9" w:name="_Toc126176744"/>
      <w:r w:rsidRPr="00704D2C">
        <w:rPr>
          <w:rFonts w:eastAsiaTheme="majorEastAsia" w:cstheme="majorBidi"/>
          <w:b/>
          <w:sz w:val="24"/>
          <w:szCs w:val="24"/>
        </w:rPr>
        <w:t>Bassetlaw District Council Planning Policy</w:t>
      </w:r>
      <w:bookmarkEnd w:id="8"/>
      <w:bookmarkEnd w:id="9"/>
    </w:p>
    <w:p w:rsidR="00704D2C" w:rsidRPr="00704D2C" w:rsidRDefault="00704D2C" w:rsidP="00704D2C">
      <w:pPr>
        <w:shd w:val="clear" w:color="auto" w:fill="FFFFFF"/>
        <w:spacing w:before="300" w:after="300" w:line="240" w:lineRule="auto"/>
        <w:ind w:left="720"/>
        <w:rPr>
          <w:rFonts w:eastAsia="Times New Roman" w:cs="Arial"/>
          <w:sz w:val="24"/>
          <w:szCs w:val="24"/>
          <w:lang w:eastAsia="en-GB"/>
        </w:rPr>
      </w:pPr>
      <w:r w:rsidRPr="00704D2C">
        <w:rPr>
          <w:rFonts w:eastAsia="Times New Roman" w:cs="Arial"/>
          <w:sz w:val="24"/>
          <w:szCs w:val="24"/>
          <w:lang w:eastAsia="en-GB"/>
        </w:rPr>
        <w:t xml:space="preserve">National planning policy requires Plans to steer development to areas at low risk from flooding i.e. Flood Zone 1, in preference to areas at higher risk i.e. Flood Zones 2 and 3, and this </w:t>
      </w:r>
      <w:proofErr w:type="gramStart"/>
      <w:r w:rsidRPr="00704D2C">
        <w:rPr>
          <w:rFonts w:eastAsia="Times New Roman" w:cs="Arial"/>
          <w:sz w:val="24"/>
          <w:szCs w:val="24"/>
          <w:lang w:eastAsia="en-GB"/>
        </w:rPr>
        <w:t>should be applied</w:t>
      </w:r>
      <w:proofErr w:type="gramEnd"/>
      <w:r w:rsidRPr="00704D2C">
        <w:rPr>
          <w:rFonts w:eastAsia="Times New Roman" w:cs="Arial"/>
          <w:sz w:val="24"/>
          <w:szCs w:val="24"/>
          <w:lang w:eastAsia="en-GB"/>
        </w:rPr>
        <w:t xml:space="preserve"> to all prospective development areas and sites. Approximately 50% of Site NP03 is within Flood Zone 3: as having a high probability of river flooding; and 50% is within Flood Zone 2 as having a medium risk of river flooding. </w:t>
      </w:r>
    </w:p>
    <w:p w:rsidR="00704D2C" w:rsidRPr="00704D2C" w:rsidRDefault="00704D2C" w:rsidP="00704D2C">
      <w:pPr>
        <w:shd w:val="clear" w:color="auto" w:fill="FFFFFF"/>
        <w:spacing w:before="300" w:after="300" w:line="240" w:lineRule="auto"/>
        <w:ind w:left="720"/>
        <w:rPr>
          <w:rFonts w:eastAsia="Times New Roman" w:cs="Arial"/>
          <w:sz w:val="24"/>
          <w:szCs w:val="24"/>
          <w:lang w:eastAsia="en-GB"/>
        </w:rPr>
      </w:pPr>
      <w:r w:rsidRPr="00704D2C">
        <w:rPr>
          <w:rFonts w:eastAsia="Times New Roman" w:cs="Arial"/>
          <w:sz w:val="24"/>
          <w:szCs w:val="24"/>
          <w:lang w:eastAsia="en-GB"/>
        </w:rPr>
        <w:t xml:space="preserve">As such, before progressing the Plan, </w:t>
      </w:r>
      <w:proofErr w:type="gramStart"/>
      <w:r w:rsidRPr="00704D2C">
        <w:rPr>
          <w:rFonts w:eastAsia="Times New Roman" w:cs="Arial"/>
          <w:sz w:val="24"/>
          <w:szCs w:val="24"/>
          <w:lang w:eastAsia="en-GB"/>
        </w:rPr>
        <w:t>its</w:t>
      </w:r>
      <w:proofErr w:type="gramEnd"/>
      <w:r w:rsidRPr="00704D2C">
        <w:rPr>
          <w:rFonts w:eastAsia="Times New Roman" w:cs="Arial"/>
          <w:sz w:val="24"/>
          <w:szCs w:val="24"/>
          <w:lang w:eastAsia="en-GB"/>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which Sequential Test considerations </w:t>
      </w:r>
      <w:proofErr w:type="gramStart"/>
      <w:r w:rsidRPr="00704D2C">
        <w:rPr>
          <w:rFonts w:eastAsia="Times New Roman" w:cs="Arial"/>
          <w:sz w:val="24"/>
          <w:szCs w:val="24"/>
          <w:lang w:eastAsia="en-GB"/>
        </w:rPr>
        <w:t>have been met</w:t>
      </w:r>
      <w:proofErr w:type="gramEnd"/>
      <w:r w:rsidRPr="00704D2C">
        <w:rPr>
          <w:rFonts w:eastAsia="Times New Roman" w:cs="Arial"/>
          <w:sz w:val="24"/>
          <w:szCs w:val="24"/>
          <w:lang w:eastAsia="en-GB"/>
        </w:rPr>
        <w:t xml:space="preserve">. This will include whether the </w:t>
      </w:r>
      <w:r w:rsidRPr="00704D2C">
        <w:rPr>
          <w:rFonts w:eastAsia="Times New Roman" w:cs="Arial"/>
          <w:sz w:val="24"/>
          <w:szCs w:val="24"/>
          <w:lang w:eastAsia="en-GB"/>
        </w:rPr>
        <w:lastRenderedPageBreak/>
        <w:t>proposed development would be safe, that occupiers can safely leave the development in times of a flood, and that the proposed development would not lead to increased flood risk on or off site.</w:t>
      </w:r>
    </w:p>
    <w:p w:rsidR="00704D2C" w:rsidRPr="00704D2C" w:rsidRDefault="00704D2C" w:rsidP="00704D2C">
      <w:pPr>
        <w:ind w:left="720"/>
        <w:contextualSpacing/>
        <w:rPr>
          <w:rFonts w:cs="Arial"/>
          <w:sz w:val="24"/>
          <w:szCs w:val="24"/>
        </w:rPr>
      </w:pPr>
      <w:r w:rsidRPr="00704D2C">
        <w:rPr>
          <w:rFonts w:cs="Arial"/>
          <w:sz w:val="24"/>
          <w:szCs w:val="24"/>
        </w:rPr>
        <w:t xml:space="preserve">To undertake the sequential test an understanding of the type of development proposed would be required. National policy classifies development into vulnerability categories, guidance </w:t>
      </w:r>
      <w:proofErr w:type="gramStart"/>
      <w:r w:rsidRPr="00704D2C">
        <w:rPr>
          <w:rFonts w:cs="Arial"/>
          <w:sz w:val="24"/>
          <w:szCs w:val="24"/>
        </w:rPr>
        <w:t>is provided</w:t>
      </w:r>
      <w:proofErr w:type="gramEnd"/>
      <w:r w:rsidRPr="00704D2C">
        <w:rPr>
          <w:rFonts w:cs="Arial"/>
          <w:sz w:val="24"/>
          <w:szCs w:val="24"/>
        </w:rPr>
        <w:t xml:space="preserve"> for each vulnerability category by flood zone. </w:t>
      </w:r>
    </w:p>
    <w:p w:rsidR="00704D2C" w:rsidRPr="00704D2C" w:rsidRDefault="00704D2C" w:rsidP="00704D2C">
      <w:pPr>
        <w:ind w:left="720"/>
        <w:contextualSpacing/>
        <w:rPr>
          <w:rFonts w:cs="Arial"/>
          <w:sz w:val="24"/>
          <w:szCs w:val="24"/>
        </w:rPr>
      </w:pPr>
    </w:p>
    <w:p w:rsidR="00704D2C" w:rsidRPr="00704D2C" w:rsidRDefault="00704D2C" w:rsidP="00704D2C">
      <w:pPr>
        <w:keepNext/>
        <w:keepLines/>
        <w:spacing w:before="40" w:after="0"/>
        <w:outlineLvl w:val="1"/>
        <w:rPr>
          <w:rFonts w:eastAsiaTheme="majorEastAsia" w:cstheme="majorBidi"/>
          <w:b/>
          <w:sz w:val="24"/>
          <w:szCs w:val="24"/>
        </w:rPr>
      </w:pPr>
      <w:bookmarkStart w:id="10" w:name="_Toc126175750"/>
      <w:bookmarkStart w:id="11" w:name="_Toc126176745"/>
      <w:r w:rsidRPr="00704D2C">
        <w:rPr>
          <w:rFonts w:eastAsiaTheme="majorEastAsia" w:cstheme="majorBidi"/>
          <w:b/>
          <w:sz w:val="24"/>
          <w:szCs w:val="24"/>
        </w:rPr>
        <w:t>Bassetlaw District Council Conservation</w:t>
      </w:r>
      <w:bookmarkEnd w:id="10"/>
      <w:bookmarkEnd w:id="11"/>
    </w:p>
    <w:p w:rsidR="00704D2C" w:rsidRPr="00704D2C" w:rsidRDefault="00704D2C" w:rsidP="00704D2C"/>
    <w:p w:rsidR="00704D2C" w:rsidRPr="00704D2C" w:rsidRDefault="00704D2C" w:rsidP="00704D2C">
      <w:pPr>
        <w:ind w:left="720"/>
        <w:rPr>
          <w:rFonts w:cs="Arial"/>
          <w:sz w:val="24"/>
          <w:szCs w:val="24"/>
        </w:rPr>
      </w:pPr>
      <w:r w:rsidRPr="00704D2C">
        <w:rPr>
          <w:rFonts w:cs="Arial"/>
          <w:sz w:val="24"/>
          <w:szCs w:val="24"/>
        </w:rPr>
        <w:t xml:space="preserve">This site is in the Conservation Area and in the setting of a range of nearby Listed Buildings, including St Michael’s Church (grade II*). Conservation is </w:t>
      </w:r>
      <w:proofErr w:type="gramStart"/>
      <w:r w:rsidRPr="00704D2C">
        <w:rPr>
          <w:rFonts w:cs="Arial"/>
          <w:sz w:val="24"/>
          <w:szCs w:val="24"/>
        </w:rPr>
        <w:t>very much supportive</w:t>
      </w:r>
      <w:proofErr w:type="gramEnd"/>
      <w:r w:rsidRPr="00704D2C">
        <w:rPr>
          <w:rFonts w:cs="Arial"/>
          <w:sz w:val="24"/>
          <w:szCs w:val="24"/>
        </w:rPr>
        <w:t xml:space="preserve"> of the development of this site, subject to suitable design, scale, layout and materials, reflective of the historic context the site is within. Conservation would suggest the 2019 approval, reference 19/00194/FUL, is used as a basis for future proposals, especially for the Bridgegate </w:t>
      </w:r>
      <w:proofErr w:type="gramStart"/>
      <w:r w:rsidRPr="00704D2C">
        <w:rPr>
          <w:rFonts w:cs="Arial"/>
          <w:sz w:val="24"/>
          <w:szCs w:val="24"/>
        </w:rPr>
        <w:t>frontage which</w:t>
      </w:r>
      <w:proofErr w:type="gramEnd"/>
      <w:r w:rsidRPr="00704D2C">
        <w:rPr>
          <w:rFonts w:cs="Arial"/>
          <w:sz w:val="24"/>
          <w:szCs w:val="24"/>
        </w:rPr>
        <w:t xml:space="preserve"> is the most heritage-sensitive part of the site.</w:t>
      </w:r>
    </w:p>
    <w:p w:rsidR="00704D2C" w:rsidRPr="00704D2C" w:rsidRDefault="00704D2C" w:rsidP="00704D2C">
      <w:pPr>
        <w:ind w:left="720"/>
        <w:rPr>
          <w:sz w:val="24"/>
          <w:szCs w:val="24"/>
        </w:rPr>
      </w:pPr>
    </w:p>
    <w:p w:rsidR="00704D2C" w:rsidRPr="00704D2C" w:rsidRDefault="00704D2C" w:rsidP="00704D2C">
      <w:pPr>
        <w:keepNext/>
        <w:keepLines/>
        <w:spacing w:before="40" w:after="0"/>
        <w:outlineLvl w:val="1"/>
        <w:rPr>
          <w:rFonts w:eastAsiaTheme="majorEastAsia" w:cstheme="majorBidi"/>
          <w:b/>
          <w:sz w:val="24"/>
          <w:szCs w:val="24"/>
        </w:rPr>
      </w:pPr>
      <w:bookmarkStart w:id="12" w:name="_Toc126175751"/>
      <w:bookmarkStart w:id="13" w:name="_Toc126176746"/>
      <w:r w:rsidRPr="00704D2C">
        <w:rPr>
          <w:rFonts w:eastAsiaTheme="majorEastAsia" w:cstheme="majorBidi"/>
          <w:b/>
          <w:sz w:val="24"/>
          <w:szCs w:val="24"/>
        </w:rPr>
        <w:t>Nottinghamshire County Council Highways</w:t>
      </w:r>
      <w:bookmarkEnd w:id="12"/>
      <w:bookmarkEnd w:id="13"/>
    </w:p>
    <w:p w:rsidR="00704D2C" w:rsidRPr="00704D2C" w:rsidRDefault="00704D2C" w:rsidP="00704D2C"/>
    <w:p w:rsidR="00704D2C" w:rsidRPr="00704D2C" w:rsidRDefault="00704D2C" w:rsidP="00704D2C">
      <w:pPr>
        <w:ind w:left="720"/>
        <w:rPr>
          <w:b/>
          <w:sz w:val="24"/>
          <w:szCs w:val="24"/>
        </w:rPr>
      </w:pPr>
      <w:r w:rsidRPr="00704D2C">
        <w:rPr>
          <w:rFonts w:eastAsia="Calibri" w:cs="Arial"/>
          <w:bCs/>
          <w:color w:val="000000"/>
          <w:sz w:val="24"/>
          <w:szCs w:val="24"/>
        </w:rPr>
        <w:t xml:space="preserve">There is likely to be a reasonable prospect of providing access to new development from Bridgegate. It </w:t>
      </w:r>
      <w:proofErr w:type="gramStart"/>
      <w:r w:rsidRPr="00704D2C">
        <w:rPr>
          <w:rFonts w:eastAsia="Calibri" w:cs="Arial"/>
          <w:bCs/>
          <w:color w:val="000000"/>
          <w:sz w:val="24"/>
          <w:szCs w:val="24"/>
        </w:rPr>
        <w:t>should be noted</w:t>
      </w:r>
      <w:proofErr w:type="gramEnd"/>
      <w:r w:rsidRPr="00704D2C">
        <w:rPr>
          <w:rFonts w:eastAsia="Calibri" w:cs="Arial"/>
          <w:bCs/>
          <w:color w:val="000000"/>
          <w:sz w:val="24"/>
          <w:szCs w:val="24"/>
        </w:rPr>
        <w:t xml:space="preserve"> that, although largely abandoned, </w:t>
      </w:r>
      <w:proofErr w:type="spellStart"/>
      <w:r w:rsidRPr="00704D2C">
        <w:rPr>
          <w:rFonts w:eastAsia="Calibri" w:cs="Arial"/>
          <w:bCs/>
          <w:color w:val="000000"/>
          <w:sz w:val="24"/>
          <w:szCs w:val="24"/>
        </w:rPr>
        <w:t>Tenterflat</w:t>
      </w:r>
      <w:proofErr w:type="spellEnd"/>
      <w:r w:rsidRPr="00704D2C">
        <w:rPr>
          <w:rFonts w:eastAsia="Calibri" w:cs="Arial"/>
          <w:bCs/>
          <w:color w:val="000000"/>
          <w:sz w:val="24"/>
          <w:szCs w:val="24"/>
        </w:rPr>
        <w:t xml:space="preserve"> Walk is public highway. Therefore, any development would either need to accommodate the highway as part of the layout or this would require stopping-up prior to the </w:t>
      </w:r>
      <w:proofErr w:type="gramStart"/>
      <w:r w:rsidRPr="00704D2C">
        <w:rPr>
          <w:rFonts w:eastAsia="Calibri" w:cs="Arial"/>
          <w:bCs/>
          <w:color w:val="000000"/>
          <w:sz w:val="24"/>
          <w:szCs w:val="24"/>
        </w:rPr>
        <w:t>development taking</w:t>
      </w:r>
      <w:proofErr w:type="gramEnd"/>
      <w:r w:rsidRPr="00704D2C">
        <w:rPr>
          <w:rFonts w:eastAsia="Calibri" w:cs="Arial"/>
          <w:bCs/>
          <w:color w:val="000000"/>
          <w:sz w:val="24"/>
          <w:szCs w:val="24"/>
        </w:rPr>
        <w:t xml:space="preserve"> place. The layout may need to make provision for retaining rear access to existing properties. Vehicular access to Amcott Way </w:t>
      </w:r>
      <w:proofErr w:type="gramStart"/>
      <w:r w:rsidRPr="00704D2C">
        <w:rPr>
          <w:rFonts w:eastAsia="Calibri" w:cs="Arial"/>
          <w:bCs/>
          <w:color w:val="000000"/>
          <w:sz w:val="24"/>
          <w:szCs w:val="24"/>
        </w:rPr>
        <w:t>would not be supported</w:t>
      </w:r>
      <w:proofErr w:type="gramEnd"/>
      <w:r w:rsidRPr="00704D2C">
        <w:rPr>
          <w:rFonts w:eastAsia="Calibri" w:cs="Arial"/>
          <w:bCs/>
          <w:color w:val="000000"/>
          <w:sz w:val="24"/>
          <w:szCs w:val="24"/>
        </w:rPr>
        <w:t>, but a walking and cycle is likely to be sought as well as a pedestrian link to River Lane (East Retford Footpath 20).</w:t>
      </w:r>
    </w:p>
    <w:p w:rsidR="00E54DF9" w:rsidRDefault="00E54DF9"/>
    <w:sectPr w:rsidR="00E54DF9" w:rsidSect="00CA3174">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0DE" w:rsidRDefault="001610DE" w:rsidP="00CA3174">
      <w:pPr>
        <w:spacing w:after="0" w:line="240" w:lineRule="auto"/>
      </w:pPr>
      <w:r>
        <w:separator/>
      </w:r>
    </w:p>
  </w:endnote>
  <w:endnote w:type="continuationSeparator" w:id="0">
    <w:p w:rsidR="001610DE" w:rsidRDefault="001610DE" w:rsidP="00CA3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409622"/>
      <w:docPartObj>
        <w:docPartGallery w:val="Page Numbers (Bottom of Page)"/>
        <w:docPartUnique/>
      </w:docPartObj>
    </w:sdtPr>
    <w:sdtEndPr>
      <w:rPr>
        <w:noProof/>
      </w:rPr>
    </w:sdtEndPr>
    <w:sdtContent>
      <w:p w:rsidR="00CA3174" w:rsidRDefault="00CA3174">
        <w:pPr>
          <w:pStyle w:val="Footer"/>
          <w:jc w:val="right"/>
        </w:pPr>
        <w:r>
          <w:fldChar w:fldCharType="begin"/>
        </w:r>
        <w:r>
          <w:instrText xml:space="preserve"> PAGE   \* MERGEFORMAT </w:instrText>
        </w:r>
        <w:r>
          <w:fldChar w:fldCharType="separate"/>
        </w:r>
        <w:r w:rsidR="003D547E">
          <w:rPr>
            <w:noProof/>
          </w:rPr>
          <w:t>3</w:t>
        </w:r>
        <w:r>
          <w:rPr>
            <w:noProof/>
          </w:rPr>
          <w:fldChar w:fldCharType="end"/>
        </w:r>
      </w:p>
    </w:sdtContent>
  </w:sdt>
  <w:p w:rsidR="00CA3174" w:rsidRDefault="00CA3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0DE" w:rsidRDefault="001610DE" w:rsidP="00CA3174">
      <w:pPr>
        <w:spacing w:after="0" w:line="240" w:lineRule="auto"/>
      </w:pPr>
      <w:r>
        <w:separator/>
      </w:r>
    </w:p>
  </w:footnote>
  <w:footnote w:type="continuationSeparator" w:id="0">
    <w:p w:rsidR="001610DE" w:rsidRDefault="001610DE" w:rsidP="00CA31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D2C"/>
    <w:rsid w:val="001610DE"/>
    <w:rsid w:val="002C0A2B"/>
    <w:rsid w:val="003D547E"/>
    <w:rsid w:val="006D4491"/>
    <w:rsid w:val="00704D2C"/>
    <w:rsid w:val="008D5CBA"/>
    <w:rsid w:val="00B329D4"/>
    <w:rsid w:val="00CA3174"/>
    <w:rsid w:val="00E54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8FC61"/>
  <w15:chartTrackingRefBased/>
  <w15:docId w15:val="{AB445422-7087-4806-8ACF-68832C4E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174"/>
  </w:style>
  <w:style w:type="paragraph" w:styleId="Footer">
    <w:name w:val="footer"/>
    <w:basedOn w:val="Normal"/>
    <w:link w:val="FooterChar"/>
    <w:uiPriority w:val="99"/>
    <w:unhideWhenUsed/>
    <w:rsid w:val="00CA3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174"/>
  </w:style>
  <w:style w:type="character" w:styleId="Hyperlink">
    <w:name w:val="Hyperlink"/>
    <w:basedOn w:val="DefaultParagraphFont"/>
    <w:uiPriority w:val="99"/>
    <w:semiHidden/>
    <w:unhideWhenUsed/>
    <w:rsid w:val="002C0A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96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assetlaw.gov.uk/media/7585/retford-town-centre-np-site-assessment-report-aec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Maps and Assessments for Potential Development Site NP03</dc:title>
  <dc:subject/>
  <dc:creator>Will Wilson</dc:creator>
  <cp:keywords/>
  <dc:description/>
  <cp:lastModifiedBy>Will Wilson</cp:lastModifiedBy>
  <cp:revision>5</cp:revision>
  <dcterms:created xsi:type="dcterms:W3CDTF">2023-02-01T21:26:00Z</dcterms:created>
  <dcterms:modified xsi:type="dcterms:W3CDTF">2023-02-02T09:14:00Z</dcterms:modified>
</cp:coreProperties>
</file>